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420" w:rsidRPr="004C4DF2" w:rsidRDefault="00E16420" w:rsidP="00A935F8">
      <w:pPr>
        <w:shd w:val="clear" w:color="auto" w:fill="FFFFFF"/>
        <w:spacing w:line="360" w:lineRule="auto"/>
        <w:ind w:right="53"/>
        <w:contextualSpacing/>
        <w:jc w:val="center"/>
        <w:rPr>
          <w:rFonts w:ascii="Times New Roman" w:hAnsi="Times New Roman" w:cs="Times New Roman"/>
          <w:b/>
          <w:bCs/>
          <w:color w:val="000000"/>
          <w:spacing w:val="-1"/>
          <w:sz w:val="24"/>
          <w:szCs w:val="24"/>
        </w:rPr>
      </w:pPr>
      <w:r w:rsidRPr="004C4DF2">
        <w:rPr>
          <w:rFonts w:ascii="Times New Roman" w:hAnsi="Times New Roman" w:cs="Times New Roman"/>
          <w:b/>
          <w:bCs/>
          <w:color w:val="000000"/>
          <w:spacing w:val="-1"/>
          <w:sz w:val="24"/>
          <w:szCs w:val="24"/>
        </w:rPr>
        <w:t xml:space="preserve">KISA </w:t>
      </w:r>
      <w:r w:rsidR="00433661" w:rsidRPr="004C4DF2">
        <w:rPr>
          <w:rFonts w:ascii="Times New Roman" w:hAnsi="Times New Roman" w:cs="Times New Roman"/>
          <w:b/>
          <w:bCs/>
          <w:color w:val="000000"/>
          <w:spacing w:val="-1"/>
          <w:sz w:val="24"/>
          <w:szCs w:val="24"/>
        </w:rPr>
        <w:t>ÜRÜ</w:t>
      </w:r>
      <w:r w:rsidRPr="004C4DF2">
        <w:rPr>
          <w:rFonts w:ascii="Times New Roman" w:hAnsi="Times New Roman" w:cs="Times New Roman"/>
          <w:b/>
          <w:bCs/>
          <w:color w:val="000000"/>
          <w:spacing w:val="-1"/>
          <w:sz w:val="24"/>
          <w:szCs w:val="24"/>
        </w:rPr>
        <w:t>N BİLGİSİ</w:t>
      </w:r>
    </w:p>
    <w:p w:rsidR="00C05469" w:rsidRPr="004C4DF2" w:rsidRDefault="00C05469" w:rsidP="00A935F8">
      <w:pPr>
        <w:shd w:val="clear" w:color="auto" w:fill="FFFFFF"/>
        <w:spacing w:line="360" w:lineRule="auto"/>
        <w:ind w:right="53"/>
        <w:contextualSpacing/>
        <w:jc w:val="both"/>
        <w:rPr>
          <w:rFonts w:ascii="Times New Roman" w:hAnsi="Times New Roman" w:cs="Times New Roman"/>
          <w:sz w:val="24"/>
          <w:szCs w:val="24"/>
        </w:rPr>
      </w:pPr>
    </w:p>
    <w:p w:rsidR="00E16420" w:rsidRPr="004C4DF2" w:rsidRDefault="00F43664" w:rsidP="00A935F8">
      <w:pPr>
        <w:shd w:val="clear" w:color="auto" w:fill="FFFFFF"/>
        <w:tabs>
          <w:tab w:val="left" w:pos="696"/>
        </w:tabs>
        <w:spacing w:line="360" w:lineRule="auto"/>
        <w:ind w:right="53"/>
        <w:contextualSpacing/>
        <w:jc w:val="both"/>
        <w:rPr>
          <w:rFonts w:ascii="Times New Roman" w:hAnsi="Times New Roman" w:cs="Times New Roman"/>
          <w:b/>
          <w:bCs/>
          <w:color w:val="000000"/>
          <w:sz w:val="24"/>
          <w:szCs w:val="24"/>
        </w:rPr>
      </w:pPr>
      <w:r w:rsidRPr="004C4DF2">
        <w:rPr>
          <w:rFonts w:ascii="Times New Roman" w:hAnsi="Times New Roman" w:cs="Times New Roman"/>
          <w:b/>
          <w:bCs/>
          <w:color w:val="000000"/>
          <w:spacing w:val="-33"/>
          <w:sz w:val="24"/>
          <w:szCs w:val="24"/>
        </w:rPr>
        <w:t>1.</w:t>
      </w:r>
      <w:r w:rsidRPr="004C4DF2">
        <w:rPr>
          <w:rFonts w:ascii="Times New Roman" w:hAnsi="Times New Roman" w:cs="Times New Roman"/>
          <w:b/>
          <w:bCs/>
          <w:color w:val="000000"/>
          <w:sz w:val="24"/>
          <w:szCs w:val="24"/>
        </w:rPr>
        <w:t xml:space="preserve"> </w:t>
      </w:r>
      <w:r w:rsidR="00E16420" w:rsidRPr="004C4DF2">
        <w:rPr>
          <w:rFonts w:ascii="Times New Roman" w:hAnsi="Times New Roman" w:cs="Times New Roman"/>
          <w:b/>
          <w:bCs/>
          <w:color w:val="000000"/>
          <w:sz w:val="24"/>
          <w:szCs w:val="24"/>
        </w:rPr>
        <w:t xml:space="preserve">BEŞERİ TIBBİ </w:t>
      </w:r>
      <w:r w:rsidR="00E16420" w:rsidRPr="004C4DF2">
        <w:rPr>
          <w:rFonts w:ascii="Times New Roman" w:hAnsi="Times New Roman" w:cs="Times New Roman"/>
          <w:b/>
          <w:color w:val="000000"/>
          <w:sz w:val="24"/>
          <w:szCs w:val="24"/>
        </w:rPr>
        <w:t xml:space="preserve">ÜRÜNÜN </w:t>
      </w:r>
      <w:r w:rsidR="00E16420" w:rsidRPr="004C4DF2">
        <w:rPr>
          <w:rFonts w:ascii="Times New Roman" w:hAnsi="Times New Roman" w:cs="Times New Roman"/>
          <w:b/>
          <w:bCs/>
          <w:color w:val="000000"/>
          <w:sz w:val="24"/>
          <w:szCs w:val="24"/>
        </w:rPr>
        <w:t>ADI</w:t>
      </w:r>
    </w:p>
    <w:p w:rsidR="00923D0A" w:rsidRDefault="00923D0A" w:rsidP="00A935F8">
      <w:pPr>
        <w:pStyle w:val="stbilgi"/>
        <w:tabs>
          <w:tab w:val="left" w:pos="0"/>
        </w:tabs>
        <w:spacing w:line="360" w:lineRule="auto"/>
        <w:jc w:val="both"/>
        <w:rPr>
          <w:rFonts w:ascii="Times New Roman" w:hAnsi="Times New Roman"/>
          <w:sz w:val="24"/>
        </w:rPr>
      </w:pPr>
      <w:r w:rsidRPr="00701548">
        <w:rPr>
          <w:rFonts w:ascii="Times New Roman" w:hAnsi="Times New Roman"/>
          <w:sz w:val="24"/>
        </w:rPr>
        <w:t xml:space="preserve">DEGRA </w:t>
      </w:r>
      <w:r w:rsidR="003F72EA">
        <w:rPr>
          <w:rFonts w:ascii="Times New Roman" w:hAnsi="Times New Roman"/>
          <w:sz w:val="24"/>
        </w:rPr>
        <w:t>10</w:t>
      </w:r>
      <w:r>
        <w:rPr>
          <w:rFonts w:ascii="Times New Roman" w:hAnsi="Times New Roman"/>
          <w:sz w:val="24"/>
        </w:rPr>
        <w:t>0</w:t>
      </w:r>
      <w:r w:rsidRPr="00701548">
        <w:rPr>
          <w:rFonts w:ascii="Times New Roman" w:hAnsi="Times New Roman"/>
          <w:sz w:val="24"/>
        </w:rPr>
        <w:t xml:space="preserve"> mg F</w:t>
      </w:r>
      <w:r>
        <w:rPr>
          <w:rFonts w:ascii="Times New Roman" w:hAnsi="Times New Roman"/>
          <w:sz w:val="24"/>
        </w:rPr>
        <w:t>ilm Tablet</w:t>
      </w:r>
      <w:r w:rsidRPr="001E3956">
        <w:rPr>
          <w:rFonts w:ascii="Times New Roman" w:hAnsi="Times New Roman"/>
          <w:sz w:val="24"/>
        </w:rPr>
        <w:t xml:space="preserve">                </w:t>
      </w:r>
    </w:p>
    <w:p w:rsidR="00C05469" w:rsidRPr="004C4DF2" w:rsidRDefault="00C05469" w:rsidP="00A935F8">
      <w:pPr>
        <w:shd w:val="clear" w:color="auto" w:fill="FFFFFF"/>
        <w:spacing w:line="360" w:lineRule="auto"/>
        <w:ind w:right="53"/>
        <w:contextualSpacing/>
        <w:jc w:val="both"/>
        <w:rPr>
          <w:rFonts w:ascii="Times New Roman" w:hAnsi="Times New Roman" w:cs="Times New Roman"/>
          <w:sz w:val="24"/>
          <w:szCs w:val="24"/>
        </w:rPr>
      </w:pPr>
    </w:p>
    <w:p w:rsidR="00E16420" w:rsidRPr="004C4DF2" w:rsidRDefault="00E16420" w:rsidP="00A935F8">
      <w:pPr>
        <w:shd w:val="clear" w:color="auto" w:fill="FFFFFF"/>
        <w:tabs>
          <w:tab w:val="left" w:pos="696"/>
        </w:tabs>
        <w:spacing w:line="360" w:lineRule="auto"/>
        <w:ind w:right="53"/>
        <w:contextualSpacing/>
        <w:jc w:val="both"/>
        <w:rPr>
          <w:rFonts w:ascii="Times New Roman" w:hAnsi="Times New Roman" w:cs="Times New Roman"/>
          <w:sz w:val="24"/>
          <w:szCs w:val="24"/>
        </w:rPr>
      </w:pPr>
      <w:r w:rsidRPr="004C4DF2">
        <w:rPr>
          <w:rFonts w:ascii="Times New Roman" w:hAnsi="Times New Roman" w:cs="Times New Roman"/>
          <w:b/>
          <w:bCs/>
          <w:color w:val="000000"/>
          <w:spacing w:val="-27"/>
          <w:sz w:val="24"/>
          <w:szCs w:val="24"/>
        </w:rPr>
        <w:t>2.</w:t>
      </w:r>
      <w:r w:rsidR="00F43664" w:rsidRPr="004C4DF2">
        <w:rPr>
          <w:rFonts w:ascii="Times New Roman" w:hAnsi="Times New Roman" w:cs="Times New Roman"/>
          <w:b/>
          <w:bCs/>
          <w:color w:val="000000"/>
          <w:sz w:val="24"/>
          <w:szCs w:val="24"/>
        </w:rPr>
        <w:t xml:space="preserve"> </w:t>
      </w:r>
      <w:r w:rsidRPr="004C4DF2">
        <w:rPr>
          <w:rFonts w:ascii="Times New Roman" w:hAnsi="Times New Roman" w:cs="Times New Roman"/>
          <w:b/>
          <w:bCs/>
          <w:color w:val="000000"/>
          <w:sz w:val="24"/>
          <w:szCs w:val="24"/>
        </w:rPr>
        <w:t>KALİTATİF VE KANTİTATİF BİLEŞİM</w:t>
      </w:r>
    </w:p>
    <w:p w:rsidR="00923D0A" w:rsidRPr="00923D0A" w:rsidRDefault="00923D0A" w:rsidP="00A935F8">
      <w:pPr>
        <w:shd w:val="clear" w:color="auto" w:fill="FFFFFF"/>
        <w:spacing w:line="360" w:lineRule="auto"/>
        <w:ind w:left="6"/>
        <w:jc w:val="both"/>
        <w:rPr>
          <w:rFonts w:ascii="Times New Roman" w:hAnsi="Times New Roman" w:cs="Times New Roman"/>
          <w:bCs/>
          <w:color w:val="000000"/>
          <w:spacing w:val="-1"/>
          <w:sz w:val="24"/>
          <w:szCs w:val="24"/>
        </w:rPr>
      </w:pPr>
      <w:r w:rsidRPr="00923D0A">
        <w:rPr>
          <w:rFonts w:ascii="Times New Roman" w:hAnsi="Times New Roman" w:cs="Times New Roman"/>
          <w:bCs/>
          <w:color w:val="000000"/>
          <w:spacing w:val="-1"/>
          <w:sz w:val="24"/>
          <w:szCs w:val="24"/>
        </w:rPr>
        <w:t>Her bir tablet,</w:t>
      </w:r>
    </w:p>
    <w:p w:rsidR="00C05469" w:rsidRPr="00923D0A" w:rsidRDefault="00C05469" w:rsidP="00A935F8">
      <w:pPr>
        <w:shd w:val="clear" w:color="auto" w:fill="FFFFFF"/>
        <w:spacing w:line="360" w:lineRule="auto"/>
        <w:ind w:left="6"/>
        <w:jc w:val="both"/>
        <w:rPr>
          <w:rFonts w:ascii="Times New Roman" w:hAnsi="Times New Roman" w:cs="Times New Roman"/>
          <w:sz w:val="24"/>
          <w:szCs w:val="24"/>
        </w:rPr>
      </w:pPr>
      <w:r w:rsidRPr="00923D0A">
        <w:rPr>
          <w:rFonts w:ascii="Times New Roman" w:hAnsi="Times New Roman" w:cs="Times New Roman"/>
          <w:b/>
          <w:bCs/>
          <w:color w:val="000000"/>
          <w:spacing w:val="-1"/>
          <w:sz w:val="24"/>
          <w:szCs w:val="24"/>
        </w:rPr>
        <w:t>Etkin madde:</w:t>
      </w:r>
    </w:p>
    <w:p w:rsidR="00A81318" w:rsidRPr="00D1655A" w:rsidRDefault="00923D0A"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t>Sildenafil</w:t>
      </w:r>
      <w:r w:rsidRPr="00D1655A">
        <w:rPr>
          <w:rFonts w:ascii="Times New Roman" w:hAnsi="Times New Roman" w:cs="Times New Roman"/>
          <w:sz w:val="24"/>
          <w:szCs w:val="24"/>
        </w:rPr>
        <w:tab/>
      </w:r>
      <w:r w:rsidR="00D1655A">
        <w:rPr>
          <w:rFonts w:ascii="Times New Roman" w:hAnsi="Times New Roman" w:cs="Times New Roman"/>
          <w:sz w:val="24"/>
          <w:szCs w:val="24"/>
        </w:rPr>
        <w:tab/>
      </w:r>
      <w:r w:rsidR="00D1655A">
        <w:rPr>
          <w:rFonts w:ascii="Times New Roman" w:hAnsi="Times New Roman" w:cs="Times New Roman"/>
          <w:sz w:val="24"/>
          <w:szCs w:val="24"/>
        </w:rPr>
        <w:tab/>
      </w:r>
      <w:r w:rsidR="003F72EA" w:rsidRPr="00D1655A">
        <w:rPr>
          <w:rFonts w:ascii="Times New Roman" w:hAnsi="Times New Roman" w:cs="Times New Roman"/>
          <w:sz w:val="24"/>
          <w:szCs w:val="24"/>
        </w:rPr>
        <w:t>10</w:t>
      </w:r>
      <w:r w:rsidRPr="00D1655A">
        <w:rPr>
          <w:rFonts w:ascii="Times New Roman" w:hAnsi="Times New Roman" w:cs="Times New Roman"/>
          <w:sz w:val="24"/>
          <w:szCs w:val="24"/>
        </w:rPr>
        <w:t>0</w:t>
      </w:r>
      <w:r w:rsidR="001842FA" w:rsidRPr="00D1655A">
        <w:rPr>
          <w:rFonts w:ascii="Times New Roman" w:hAnsi="Times New Roman" w:cs="Times New Roman"/>
          <w:sz w:val="24"/>
          <w:szCs w:val="24"/>
        </w:rPr>
        <w:t>,0</w:t>
      </w:r>
      <w:r w:rsidR="00A81318" w:rsidRPr="00D1655A">
        <w:rPr>
          <w:rFonts w:ascii="Times New Roman" w:hAnsi="Times New Roman" w:cs="Times New Roman"/>
          <w:sz w:val="24"/>
          <w:szCs w:val="24"/>
        </w:rPr>
        <w:t xml:space="preserve"> mg </w:t>
      </w:r>
      <w:r w:rsidR="00C05469" w:rsidRPr="00D1655A">
        <w:rPr>
          <w:rFonts w:ascii="Times New Roman" w:hAnsi="Times New Roman" w:cs="Times New Roman"/>
          <w:sz w:val="24"/>
          <w:szCs w:val="24"/>
        </w:rPr>
        <w:t>(</w:t>
      </w:r>
      <w:r w:rsidR="002F045D">
        <w:rPr>
          <w:rFonts w:ascii="Times New Roman" w:hAnsi="Times New Roman" w:cs="Times New Roman"/>
          <w:sz w:val="24"/>
          <w:szCs w:val="24"/>
        </w:rPr>
        <w:t>e</w:t>
      </w:r>
      <w:r w:rsidRPr="00D1655A">
        <w:rPr>
          <w:rFonts w:ascii="Times New Roman" w:hAnsi="Times New Roman" w:cs="Times New Roman"/>
          <w:sz w:val="24"/>
          <w:szCs w:val="24"/>
        </w:rPr>
        <w:t>şdeğer miktarda sildenafil sitrat</w:t>
      </w:r>
      <w:r w:rsidR="00A81318" w:rsidRPr="00D1655A">
        <w:rPr>
          <w:rFonts w:ascii="Times New Roman" w:hAnsi="Times New Roman" w:cs="Times New Roman"/>
          <w:sz w:val="24"/>
          <w:szCs w:val="24"/>
        </w:rPr>
        <w:t>)</w:t>
      </w:r>
    </w:p>
    <w:p w:rsidR="00C05469" w:rsidRPr="00923D0A" w:rsidRDefault="00C05469" w:rsidP="00A935F8">
      <w:pPr>
        <w:shd w:val="clear" w:color="auto" w:fill="FFFFFF"/>
        <w:tabs>
          <w:tab w:val="left" w:leader="dot" w:pos="4757"/>
        </w:tabs>
        <w:spacing w:line="360" w:lineRule="auto"/>
        <w:jc w:val="both"/>
        <w:rPr>
          <w:rFonts w:ascii="Times New Roman" w:hAnsi="Times New Roman" w:cs="Times New Roman"/>
          <w:sz w:val="24"/>
          <w:szCs w:val="24"/>
        </w:rPr>
      </w:pPr>
      <w:r w:rsidRPr="00923D0A">
        <w:rPr>
          <w:rFonts w:ascii="Times New Roman" w:hAnsi="Times New Roman" w:cs="Times New Roman"/>
          <w:b/>
          <w:bCs/>
          <w:color w:val="000000"/>
          <w:spacing w:val="-1"/>
          <w:sz w:val="24"/>
          <w:szCs w:val="24"/>
        </w:rPr>
        <w:t>Yardımcı maddeler:</w:t>
      </w:r>
    </w:p>
    <w:p w:rsidR="00C05469" w:rsidRPr="002F045D" w:rsidRDefault="00C05469"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t>Kroskarmelloz sodyum</w:t>
      </w:r>
      <w:r w:rsidR="00A81318" w:rsidRPr="00D1655A">
        <w:rPr>
          <w:rFonts w:ascii="Times New Roman" w:hAnsi="Times New Roman" w:cs="Times New Roman"/>
          <w:sz w:val="24"/>
          <w:szCs w:val="24"/>
        </w:rPr>
        <w:t xml:space="preserve"> </w:t>
      </w:r>
      <w:r w:rsidR="00923D0A" w:rsidRPr="00D1655A">
        <w:rPr>
          <w:rFonts w:ascii="Times New Roman" w:hAnsi="Times New Roman" w:cs="Times New Roman"/>
          <w:sz w:val="24"/>
          <w:szCs w:val="24"/>
        </w:rPr>
        <w:tab/>
      </w:r>
      <w:r w:rsidR="00D1655A">
        <w:rPr>
          <w:rFonts w:ascii="Times New Roman" w:hAnsi="Times New Roman" w:cs="Times New Roman"/>
          <w:sz w:val="24"/>
          <w:szCs w:val="24"/>
        </w:rPr>
        <w:tab/>
      </w:r>
      <w:r w:rsidR="002F045D" w:rsidRPr="002F045D">
        <w:rPr>
          <w:rFonts w:ascii="Times New Roman" w:hAnsi="Times New Roman" w:cs="Times New Roman"/>
          <w:sz w:val="24"/>
          <w:szCs w:val="24"/>
        </w:rPr>
        <w:t xml:space="preserve">30,0 </w:t>
      </w:r>
      <w:r w:rsidRPr="002F045D">
        <w:rPr>
          <w:rFonts w:ascii="Times New Roman" w:hAnsi="Times New Roman" w:cs="Times New Roman"/>
          <w:sz w:val="24"/>
          <w:szCs w:val="24"/>
        </w:rPr>
        <w:t>mg</w:t>
      </w:r>
    </w:p>
    <w:p w:rsidR="001842FA" w:rsidRPr="00923D0A" w:rsidRDefault="001842FA" w:rsidP="00A935F8">
      <w:pPr>
        <w:spacing w:line="360" w:lineRule="auto"/>
        <w:jc w:val="both"/>
        <w:rPr>
          <w:rFonts w:ascii="Times New Roman" w:hAnsi="Times New Roman" w:cs="Times New Roman"/>
          <w:sz w:val="24"/>
          <w:szCs w:val="24"/>
        </w:rPr>
      </w:pPr>
      <w:r w:rsidRPr="002F045D">
        <w:rPr>
          <w:rFonts w:ascii="Times New Roman" w:hAnsi="Times New Roman" w:cs="Times New Roman"/>
          <w:sz w:val="24"/>
          <w:szCs w:val="24"/>
        </w:rPr>
        <w:t>Laktoz monohidrat</w:t>
      </w:r>
      <w:r w:rsidRPr="002F045D">
        <w:rPr>
          <w:rFonts w:ascii="Times New Roman" w:hAnsi="Times New Roman" w:cs="Times New Roman"/>
          <w:sz w:val="24"/>
          <w:szCs w:val="24"/>
        </w:rPr>
        <w:tab/>
      </w:r>
      <w:r w:rsidR="00D1655A" w:rsidRPr="002F045D">
        <w:rPr>
          <w:rFonts w:ascii="Times New Roman" w:hAnsi="Times New Roman" w:cs="Times New Roman"/>
          <w:sz w:val="24"/>
          <w:szCs w:val="24"/>
        </w:rPr>
        <w:tab/>
      </w:r>
      <w:r w:rsidR="00D1655A" w:rsidRPr="002F045D">
        <w:rPr>
          <w:rFonts w:ascii="Times New Roman" w:hAnsi="Times New Roman" w:cs="Times New Roman"/>
          <w:sz w:val="24"/>
          <w:szCs w:val="24"/>
        </w:rPr>
        <w:tab/>
      </w:r>
      <w:r w:rsidR="002F045D" w:rsidRPr="002F045D">
        <w:rPr>
          <w:rFonts w:ascii="Times New Roman" w:hAnsi="Times New Roman" w:cs="Times New Roman"/>
          <w:sz w:val="24"/>
          <w:szCs w:val="24"/>
        </w:rPr>
        <w:t xml:space="preserve">8,0 </w:t>
      </w:r>
      <w:r w:rsidR="00D1655A" w:rsidRPr="002F045D">
        <w:rPr>
          <w:rFonts w:ascii="Times New Roman" w:hAnsi="Times New Roman" w:cs="Times New Roman"/>
          <w:sz w:val="24"/>
          <w:szCs w:val="24"/>
        </w:rPr>
        <w:t>mg</w:t>
      </w:r>
    </w:p>
    <w:p w:rsidR="00C05469" w:rsidRPr="00923D0A" w:rsidRDefault="00C05469" w:rsidP="00A935F8">
      <w:pPr>
        <w:shd w:val="clear" w:color="auto" w:fill="FFFFFF"/>
        <w:spacing w:line="360" w:lineRule="auto"/>
        <w:ind w:left="5"/>
        <w:jc w:val="both"/>
        <w:rPr>
          <w:rFonts w:ascii="Times New Roman" w:hAnsi="Times New Roman" w:cs="Times New Roman"/>
          <w:sz w:val="24"/>
          <w:szCs w:val="24"/>
        </w:rPr>
      </w:pPr>
      <w:r w:rsidRPr="00923D0A">
        <w:rPr>
          <w:rFonts w:ascii="Times New Roman" w:hAnsi="Times New Roman" w:cs="Times New Roman"/>
          <w:color w:val="000000"/>
          <w:sz w:val="24"/>
          <w:szCs w:val="24"/>
        </w:rPr>
        <w:t>Yardımcı maddeler için 6.1 'e bakınız.</w:t>
      </w:r>
    </w:p>
    <w:p w:rsidR="00F43664" w:rsidRPr="00923D0A" w:rsidRDefault="00F43664" w:rsidP="00A935F8">
      <w:pPr>
        <w:shd w:val="clear" w:color="auto" w:fill="FFFFFF"/>
        <w:spacing w:line="360" w:lineRule="auto"/>
        <w:ind w:right="53"/>
        <w:contextualSpacing/>
        <w:jc w:val="both"/>
        <w:rPr>
          <w:rFonts w:ascii="Times New Roman" w:hAnsi="Times New Roman" w:cs="Times New Roman"/>
          <w:sz w:val="24"/>
          <w:szCs w:val="24"/>
        </w:rPr>
      </w:pPr>
    </w:p>
    <w:p w:rsidR="00E16420" w:rsidRPr="00923D0A" w:rsidRDefault="00E16420" w:rsidP="00A935F8">
      <w:pPr>
        <w:shd w:val="clear" w:color="auto" w:fill="FFFFFF"/>
        <w:tabs>
          <w:tab w:val="left" w:pos="696"/>
        </w:tabs>
        <w:spacing w:line="360" w:lineRule="auto"/>
        <w:ind w:right="53"/>
        <w:contextualSpacing/>
        <w:jc w:val="both"/>
        <w:rPr>
          <w:rFonts w:ascii="Times New Roman" w:hAnsi="Times New Roman" w:cs="Times New Roman"/>
          <w:b/>
          <w:bCs/>
          <w:color w:val="000000"/>
          <w:sz w:val="24"/>
          <w:szCs w:val="24"/>
        </w:rPr>
      </w:pPr>
      <w:r w:rsidRPr="00923D0A">
        <w:rPr>
          <w:rFonts w:ascii="Times New Roman" w:hAnsi="Times New Roman" w:cs="Times New Roman"/>
          <w:b/>
          <w:bCs/>
          <w:color w:val="000000"/>
          <w:spacing w:val="-28"/>
          <w:sz w:val="24"/>
          <w:szCs w:val="24"/>
        </w:rPr>
        <w:t>3.</w:t>
      </w:r>
      <w:r w:rsidR="00F43664" w:rsidRPr="00923D0A">
        <w:rPr>
          <w:rFonts w:ascii="Times New Roman" w:hAnsi="Times New Roman" w:cs="Times New Roman"/>
          <w:b/>
          <w:bCs/>
          <w:color w:val="000000"/>
          <w:sz w:val="24"/>
          <w:szCs w:val="24"/>
        </w:rPr>
        <w:t xml:space="preserve"> </w:t>
      </w:r>
      <w:r w:rsidRPr="00923D0A">
        <w:rPr>
          <w:rFonts w:ascii="Times New Roman" w:hAnsi="Times New Roman" w:cs="Times New Roman"/>
          <w:b/>
          <w:bCs/>
          <w:color w:val="000000"/>
          <w:sz w:val="24"/>
          <w:szCs w:val="24"/>
        </w:rPr>
        <w:t>FARMASÖTİK FORM</w:t>
      </w:r>
    </w:p>
    <w:p w:rsidR="00C05469" w:rsidRPr="00923D0A" w:rsidRDefault="00EF7C5A" w:rsidP="00A935F8">
      <w:pPr>
        <w:shd w:val="clear" w:color="auto" w:fill="FFFFFF"/>
        <w:spacing w:line="360" w:lineRule="auto"/>
        <w:ind w:right="53"/>
        <w:contextualSpacing/>
        <w:jc w:val="both"/>
        <w:rPr>
          <w:rFonts w:ascii="Times New Roman" w:hAnsi="Times New Roman" w:cs="Times New Roman"/>
          <w:color w:val="000000"/>
          <w:spacing w:val="-3"/>
          <w:sz w:val="24"/>
          <w:szCs w:val="24"/>
        </w:rPr>
      </w:pPr>
      <w:r w:rsidRPr="00923D0A">
        <w:rPr>
          <w:rFonts w:ascii="Times New Roman" w:hAnsi="Times New Roman" w:cs="Times New Roman"/>
          <w:color w:val="000000"/>
          <w:spacing w:val="-3"/>
          <w:sz w:val="24"/>
          <w:szCs w:val="24"/>
        </w:rPr>
        <w:t>Film Tablet</w:t>
      </w:r>
    </w:p>
    <w:p w:rsidR="003F72EA" w:rsidRPr="00F62398" w:rsidRDefault="003F72EA" w:rsidP="00A935F8">
      <w:pPr>
        <w:spacing w:line="360" w:lineRule="auto"/>
        <w:jc w:val="both"/>
        <w:rPr>
          <w:rFonts w:ascii="Times New Roman" w:hAnsi="Times New Roman" w:cs="Times New Roman"/>
          <w:sz w:val="24"/>
          <w:szCs w:val="24"/>
        </w:rPr>
      </w:pPr>
      <w:r w:rsidRPr="00F62398">
        <w:rPr>
          <w:rFonts w:ascii="Times New Roman" w:hAnsi="Times New Roman" w:cs="Times New Roman"/>
          <w:sz w:val="24"/>
          <w:szCs w:val="24"/>
        </w:rPr>
        <w:t>Mavi film kaplı, bir yüzü “100”, diğer yüzü “DGR” baskılı, altıgen tabletler.</w:t>
      </w:r>
    </w:p>
    <w:p w:rsidR="00F43664" w:rsidRPr="004C4DF2" w:rsidRDefault="00F43664" w:rsidP="00A935F8">
      <w:pPr>
        <w:shd w:val="clear" w:color="auto" w:fill="FFFFFF"/>
        <w:spacing w:line="360" w:lineRule="auto"/>
        <w:ind w:right="53"/>
        <w:contextualSpacing/>
        <w:jc w:val="both"/>
        <w:rPr>
          <w:rFonts w:ascii="Times New Roman" w:hAnsi="Times New Roman" w:cs="Times New Roman"/>
          <w:sz w:val="24"/>
          <w:szCs w:val="24"/>
        </w:rPr>
      </w:pPr>
    </w:p>
    <w:p w:rsidR="00E16420" w:rsidRPr="004C4DF2" w:rsidRDefault="00E16420" w:rsidP="00A935F8">
      <w:pPr>
        <w:shd w:val="clear" w:color="auto" w:fill="FFFFFF"/>
        <w:tabs>
          <w:tab w:val="left" w:pos="696"/>
        </w:tabs>
        <w:spacing w:line="360" w:lineRule="auto"/>
        <w:ind w:right="53"/>
        <w:contextualSpacing/>
        <w:jc w:val="both"/>
        <w:rPr>
          <w:rFonts w:ascii="Times New Roman" w:hAnsi="Times New Roman" w:cs="Times New Roman"/>
          <w:b/>
          <w:bCs/>
          <w:color w:val="000000"/>
          <w:spacing w:val="-1"/>
          <w:sz w:val="24"/>
          <w:szCs w:val="24"/>
        </w:rPr>
      </w:pPr>
      <w:r w:rsidRPr="004C4DF2">
        <w:rPr>
          <w:rFonts w:ascii="Times New Roman" w:hAnsi="Times New Roman" w:cs="Times New Roman"/>
          <w:b/>
          <w:bCs/>
          <w:color w:val="000000"/>
          <w:spacing w:val="-28"/>
          <w:sz w:val="24"/>
          <w:szCs w:val="24"/>
        </w:rPr>
        <w:t>4.</w:t>
      </w:r>
      <w:r w:rsidR="00F43664" w:rsidRPr="004C4DF2">
        <w:rPr>
          <w:rFonts w:ascii="Times New Roman" w:hAnsi="Times New Roman" w:cs="Times New Roman"/>
          <w:b/>
          <w:bCs/>
          <w:color w:val="000000"/>
          <w:sz w:val="24"/>
          <w:szCs w:val="24"/>
        </w:rPr>
        <w:t xml:space="preserve"> </w:t>
      </w:r>
      <w:r w:rsidRPr="004C4DF2">
        <w:rPr>
          <w:rFonts w:ascii="Times New Roman" w:hAnsi="Times New Roman" w:cs="Times New Roman"/>
          <w:b/>
          <w:bCs/>
          <w:color w:val="000000"/>
          <w:sz w:val="24"/>
          <w:szCs w:val="24"/>
        </w:rPr>
        <w:t>KLİNİK ÖZELLİKLER</w:t>
      </w:r>
      <w:r w:rsidRPr="004C4DF2">
        <w:rPr>
          <w:rFonts w:ascii="Times New Roman" w:hAnsi="Times New Roman" w:cs="Times New Roman"/>
          <w:b/>
          <w:bCs/>
          <w:color w:val="000000"/>
          <w:sz w:val="24"/>
          <w:szCs w:val="24"/>
        </w:rPr>
        <w:br/>
      </w:r>
      <w:r w:rsidRPr="004C4DF2">
        <w:rPr>
          <w:rFonts w:ascii="Times New Roman" w:hAnsi="Times New Roman" w:cs="Times New Roman"/>
          <w:b/>
          <w:bCs/>
          <w:color w:val="000000"/>
          <w:spacing w:val="-1"/>
          <w:sz w:val="24"/>
          <w:szCs w:val="24"/>
        </w:rPr>
        <w:t>4.1.</w:t>
      </w:r>
      <w:r w:rsidR="00F43664" w:rsidRPr="004C4DF2">
        <w:rPr>
          <w:rFonts w:ascii="Times New Roman" w:hAnsi="Times New Roman" w:cs="Times New Roman"/>
          <w:b/>
          <w:bCs/>
          <w:color w:val="000000"/>
          <w:spacing w:val="-1"/>
          <w:sz w:val="24"/>
          <w:szCs w:val="24"/>
        </w:rPr>
        <w:t xml:space="preserve"> </w:t>
      </w:r>
      <w:r w:rsidRPr="004C4DF2">
        <w:rPr>
          <w:rFonts w:ascii="Times New Roman" w:hAnsi="Times New Roman" w:cs="Times New Roman"/>
          <w:b/>
          <w:bCs/>
          <w:color w:val="000000"/>
          <w:spacing w:val="-1"/>
          <w:sz w:val="24"/>
          <w:szCs w:val="24"/>
        </w:rPr>
        <w:t>Terapötik endikasyonlar</w:t>
      </w:r>
    </w:p>
    <w:p w:rsidR="006F013A" w:rsidRPr="00542F65" w:rsidRDefault="00D1655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DEGRA</w:t>
      </w:r>
      <w:r w:rsidR="006F013A" w:rsidRPr="00542F65">
        <w:rPr>
          <w:rFonts w:ascii="Times New Roman" w:hAnsi="Times New Roman" w:cs="Times New Roman"/>
          <w:color w:val="0070C0"/>
          <w:sz w:val="24"/>
          <w:szCs w:val="24"/>
        </w:rPr>
        <w:t>, yeterli bir seksüel performans için gerekli penil ereksiyonun sağlanamaması veya sürdürülememesi olarak tanımlanan erektil disfonksiyonun semptomatik tedavisinde endikedir.</w:t>
      </w:r>
    </w:p>
    <w:p w:rsidR="006F013A" w:rsidRPr="00542F65" w:rsidRDefault="00D1655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DEGRA</w:t>
      </w:r>
      <w:r w:rsidR="006F013A" w:rsidRPr="00542F65">
        <w:rPr>
          <w:rFonts w:ascii="Times New Roman" w:hAnsi="Times New Roman" w:cs="Times New Roman"/>
          <w:color w:val="0070C0"/>
          <w:sz w:val="24"/>
          <w:szCs w:val="24"/>
        </w:rPr>
        <w:t>'nın etkili olabilmesi için seksüel stimülasyon gereklidir.</w:t>
      </w:r>
    </w:p>
    <w:p w:rsidR="00C05469" w:rsidRPr="00542F65" w:rsidRDefault="00D1655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DEGRA</w:t>
      </w:r>
      <w:r w:rsidR="006F013A" w:rsidRPr="00542F65">
        <w:rPr>
          <w:rFonts w:ascii="Times New Roman" w:hAnsi="Times New Roman" w:cs="Times New Roman"/>
          <w:color w:val="0070C0"/>
          <w:sz w:val="24"/>
          <w:szCs w:val="24"/>
        </w:rPr>
        <w:t xml:space="preserve"> kadınlarda endike değildir.</w:t>
      </w:r>
    </w:p>
    <w:p w:rsidR="006F013A" w:rsidRPr="004C4DF2" w:rsidRDefault="006F013A" w:rsidP="00A935F8">
      <w:pPr>
        <w:shd w:val="clear" w:color="auto" w:fill="FFFFFF"/>
        <w:spacing w:line="360" w:lineRule="auto"/>
        <w:ind w:right="53"/>
        <w:contextualSpacing/>
        <w:jc w:val="both"/>
        <w:rPr>
          <w:rFonts w:ascii="Times New Roman" w:hAnsi="Times New Roman" w:cs="Times New Roman"/>
          <w:color w:val="000000"/>
          <w:sz w:val="24"/>
          <w:szCs w:val="24"/>
        </w:rPr>
      </w:pPr>
    </w:p>
    <w:p w:rsidR="00E16420" w:rsidRDefault="00433661" w:rsidP="00A935F8">
      <w:pPr>
        <w:shd w:val="clear" w:color="auto" w:fill="FFFFFF"/>
        <w:tabs>
          <w:tab w:val="left" w:pos="680"/>
          <w:tab w:val="left" w:pos="709"/>
        </w:tabs>
        <w:spacing w:line="360" w:lineRule="auto"/>
        <w:ind w:right="51"/>
        <w:contextualSpacing/>
        <w:jc w:val="both"/>
        <w:rPr>
          <w:rFonts w:ascii="Times New Roman" w:hAnsi="Times New Roman" w:cs="Times New Roman"/>
          <w:b/>
          <w:bCs/>
          <w:color w:val="000000"/>
          <w:spacing w:val="-1"/>
          <w:sz w:val="24"/>
          <w:szCs w:val="24"/>
        </w:rPr>
      </w:pPr>
      <w:r w:rsidRPr="004C4DF2">
        <w:rPr>
          <w:rFonts w:ascii="Times New Roman" w:hAnsi="Times New Roman" w:cs="Times New Roman"/>
          <w:b/>
          <w:bCs/>
          <w:color w:val="000000"/>
          <w:spacing w:val="-1"/>
          <w:sz w:val="24"/>
          <w:szCs w:val="24"/>
        </w:rPr>
        <w:t>4.2.</w:t>
      </w:r>
      <w:r w:rsidR="00C612D5" w:rsidRPr="004C4DF2">
        <w:rPr>
          <w:rFonts w:ascii="Times New Roman" w:hAnsi="Times New Roman" w:cs="Times New Roman"/>
          <w:b/>
          <w:bCs/>
          <w:color w:val="000000"/>
          <w:spacing w:val="-1"/>
          <w:sz w:val="24"/>
          <w:szCs w:val="24"/>
        </w:rPr>
        <w:t xml:space="preserve"> </w:t>
      </w:r>
      <w:r w:rsidRPr="004C4DF2">
        <w:rPr>
          <w:rFonts w:ascii="Times New Roman" w:hAnsi="Times New Roman" w:cs="Times New Roman"/>
          <w:b/>
          <w:bCs/>
          <w:color w:val="000000"/>
          <w:spacing w:val="-1"/>
          <w:sz w:val="24"/>
          <w:szCs w:val="24"/>
        </w:rPr>
        <w:t>P</w:t>
      </w:r>
      <w:r w:rsidR="00E16420" w:rsidRPr="004C4DF2">
        <w:rPr>
          <w:rFonts w:ascii="Times New Roman" w:hAnsi="Times New Roman" w:cs="Times New Roman"/>
          <w:b/>
          <w:bCs/>
          <w:color w:val="000000"/>
          <w:spacing w:val="-1"/>
          <w:sz w:val="24"/>
          <w:szCs w:val="24"/>
        </w:rPr>
        <w:t>ozoloji ve uygulama şekli</w:t>
      </w:r>
    </w:p>
    <w:p w:rsidR="006F013A" w:rsidRPr="00542F65" w:rsidRDefault="006F013A" w:rsidP="00A935F8">
      <w:pPr>
        <w:shd w:val="clear" w:color="auto" w:fill="FFFFFF"/>
        <w:tabs>
          <w:tab w:val="left" w:pos="680"/>
          <w:tab w:val="left" w:pos="709"/>
        </w:tabs>
        <w:spacing w:line="360" w:lineRule="auto"/>
        <w:ind w:right="51"/>
        <w:contextualSpacing/>
        <w:jc w:val="both"/>
        <w:rPr>
          <w:rFonts w:ascii="Times New Roman" w:hAnsi="Times New Roman" w:cs="Times New Roman"/>
          <w:b/>
          <w:bCs/>
          <w:color w:val="0070C0"/>
          <w:spacing w:val="-1"/>
          <w:sz w:val="24"/>
          <w:szCs w:val="24"/>
        </w:rPr>
      </w:pPr>
      <w:r w:rsidRPr="00542F65">
        <w:rPr>
          <w:rFonts w:ascii="Times New Roman" w:hAnsi="Times New Roman" w:cs="Times New Roman"/>
          <w:b/>
          <w:bCs/>
          <w:color w:val="0070C0"/>
          <w:spacing w:val="-1"/>
          <w:sz w:val="24"/>
          <w:szCs w:val="24"/>
        </w:rPr>
        <w:t>Pozoloji:</w:t>
      </w:r>
    </w:p>
    <w:p w:rsidR="006F013A" w:rsidRPr="00542F65" w:rsidRDefault="006F013A" w:rsidP="00A935F8">
      <w:pPr>
        <w:shd w:val="clear" w:color="auto" w:fill="FFFFFF"/>
        <w:tabs>
          <w:tab w:val="left" w:pos="680"/>
          <w:tab w:val="left" w:pos="709"/>
        </w:tabs>
        <w:spacing w:line="360" w:lineRule="auto"/>
        <w:ind w:right="51"/>
        <w:contextualSpacing/>
        <w:jc w:val="both"/>
        <w:rPr>
          <w:rFonts w:ascii="Times New Roman" w:hAnsi="Times New Roman" w:cs="Times New Roman"/>
          <w:bCs/>
          <w:color w:val="0070C0"/>
          <w:spacing w:val="-1"/>
          <w:sz w:val="24"/>
          <w:szCs w:val="24"/>
        </w:rPr>
      </w:pPr>
      <w:r w:rsidRPr="00542F65">
        <w:rPr>
          <w:rFonts w:ascii="Times New Roman" w:hAnsi="Times New Roman" w:cs="Times New Roman"/>
          <w:bCs/>
          <w:color w:val="0070C0"/>
          <w:spacing w:val="-1"/>
          <w:sz w:val="24"/>
          <w:szCs w:val="24"/>
        </w:rPr>
        <w:t>Yeterli bir seksüel performans için gerekli penil ereksiyonun sağlanamaması veya sürdürülememesi olarak tanımlanan erektil disfonksiyonun semptomatik tedavisinde çoğu hasta için önerilen doz, gerektikçe, cinsel aktiviteden yaklaşık bir saat önce alınan 50 mg'dir.</w:t>
      </w:r>
    </w:p>
    <w:p w:rsidR="006F013A" w:rsidRPr="00542F65" w:rsidRDefault="006F013A" w:rsidP="00A935F8">
      <w:pPr>
        <w:shd w:val="clear" w:color="auto" w:fill="FFFFFF"/>
        <w:tabs>
          <w:tab w:val="left" w:pos="680"/>
          <w:tab w:val="left" w:pos="709"/>
        </w:tabs>
        <w:spacing w:line="360" w:lineRule="auto"/>
        <w:ind w:right="51"/>
        <w:contextualSpacing/>
        <w:jc w:val="both"/>
        <w:rPr>
          <w:rFonts w:ascii="Times New Roman" w:hAnsi="Times New Roman" w:cs="Times New Roman"/>
          <w:bCs/>
          <w:color w:val="0070C0"/>
          <w:spacing w:val="-1"/>
          <w:sz w:val="24"/>
          <w:szCs w:val="24"/>
        </w:rPr>
      </w:pPr>
    </w:p>
    <w:p w:rsidR="00E16420" w:rsidRPr="00542F65" w:rsidRDefault="00E16420" w:rsidP="00A935F8">
      <w:pPr>
        <w:shd w:val="clear" w:color="auto" w:fill="FFFFFF"/>
        <w:tabs>
          <w:tab w:val="left" w:pos="680"/>
          <w:tab w:val="left" w:pos="709"/>
        </w:tabs>
        <w:spacing w:line="360" w:lineRule="auto"/>
        <w:ind w:right="51"/>
        <w:contextualSpacing/>
        <w:jc w:val="both"/>
        <w:rPr>
          <w:rFonts w:ascii="Times New Roman" w:hAnsi="Times New Roman" w:cs="Times New Roman"/>
          <w:b/>
          <w:bCs/>
          <w:color w:val="0070C0"/>
          <w:spacing w:val="-1"/>
          <w:sz w:val="24"/>
          <w:szCs w:val="24"/>
        </w:rPr>
      </w:pPr>
      <w:r w:rsidRPr="00542F65">
        <w:rPr>
          <w:rFonts w:ascii="Times New Roman" w:hAnsi="Times New Roman" w:cs="Times New Roman"/>
          <w:b/>
          <w:bCs/>
          <w:color w:val="0070C0"/>
          <w:spacing w:val="-1"/>
          <w:sz w:val="24"/>
          <w:szCs w:val="24"/>
        </w:rPr>
        <w:t>Uygulama sıklığı ve süresi:</w:t>
      </w:r>
    </w:p>
    <w:p w:rsidR="00C612D5" w:rsidRPr="00542F65" w:rsidRDefault="006F013A" w:rsidP="00A935F8">
      <w:pPr>
        <w:shd w:val="clear" w:color="auto" w:fill="FFFFFF"/>
        <w:spacing w:line="360" w:lineRule="auto"/>
        <w:ind w:right="53"/>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Etkinlik ve tolerabiliteye bağlı olarak, önerilen en yüksek doz olan 100 mg'a yükseltilebilir ya da 25 mg'a düşürülebilir. Önerilen en yüksek doz 100 mg'dir. Önerilen en yüksek doz sıklığı günde bir kezdir.</w:t>
      </w:r>
    </w:p>
    <w:p w:rsidR="006D1B83" w:rsidRPr="00542F65" w:rsidRDefault="006D1B83" w:rsidP="00A935F8">
      <w:pPr>
        <w:shd w:val="clear" w:color="auto" w:fill="FFFFFF"/>
        <w:tabs>
          <w:tab w:val="left" w:pos="680"/>
          <w:tab w:val="left" w:pos="709"/>
        </w:tabs>
        <w:spacing w:line="360" w:lineRule="auto"/>
        <w:ind w:right="51"/>
        <w:contextualSpacing/>
        <w:jc w:val="both"/>
        <w:rPr>
          <w:rFonts w:ascii="Times New Roman" w:hAnsi="Times New Roman" w:cs="Times New Roman"/>
          <w:b/>
          <w:bCs/>
          <w:color w:val="0070C0"/>
          <w:spacing w:val="-1"/>
          <w:sz w:val="24"/>
          <w:szCs w:val="24"/>
        </w:rPr>
      </w:pPr>
    </w:p>
    <w:p w:rsidR="00E16420" w:rsidRPr="00542F65" w:rsidRDefault="00E16420" w:rsidP="00A935F8">
      <w:pPr>
        <w:shd w:val="clear" w:color="auto" w:fill="FFFFFF"/>
        <w:tabs>
          <w:tab w:val="left" w:pos="680"/>
          <w:tab w:val="left" w:pos="709"/>
        </w:tabs>
        <w:spacing w:line="360" w:lineRule="auto"/>
        <w:ind w:right="51"/>
        <w:contextualSpacing/>
        <w:jc w:val="both"/>
        <w:rPr>
          <w:rFonts w:ascii="Times New Roman" w:hAnsi="Times New Roman" w:cs="Times New Roman"/>
          <w:b/>
          <w:bCs/>
          <w:color w:val="0070C0"/>
          <w:spacing w:val="-1"/>
          <w:sz w:val="24"/>
          <w:szCs w:val="24"/>
        </w:rPr>
      </w:pPr>
      <w:r w:rsidRPr="00542F65">
        <w:rPr>
          <w:rFonts w:ascii="Times New Roman" w:hAnsi="Times New Roman" w:cs="Times New Roman"/>
          <w:b/>
          <w:bCs/>
          <w:color w:val="0070C0"/>
          <w:spacing w:val="-1"/>
          <w:sz w:val="24"/>
          <w:szCs w:val="24"/>
        </w:rPr>
        <w:lastRenderedPageBreak/>
        <w:t>Uygulama şekli</w:t>
      </w:r>
    </w:p>
    <w:p w:rsidR="006F013A" w:rsidRPr="00542F65" w:rsidRDefault="00D1655A"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DEGRA</w:t>
      </w:r>
      <w:r w:rsidR="006F013A" w:rsidRPr="00542F65">
        <w:rPr>
          <w:rFonts w:ascii="Times New Roman" w:hAnsi="Times New Roman" w:cs="Times New Roman"/>
          <w:color w:val="0070C0"/>
          <w:spacing w:val="-4"/>
          <w:sz w:val="24"/>
          <w:szCs w:val="24"/>
        </w:rPr>
        <w:t xml:space="preserve"> Tabletleri oral olarak uygulanır.</w:t>
      </w:r>
    </w:p>
    <w:p w:rsidR="006F013A" w:rsidRPr="00542F65" w:rsidRDefault="006F013A"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p>
    <w:p w:rsidR="006F013A" w:rsidRPr="00542F65" w:rsidRDefault="006F013A"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Etkinin başlaması, yemeklerle beraber alındığında aç karnına alınmasına kıyasla gecikebilir (Bkz. Bölüm 5.2 Farmakokinetik Özellikler).</w:t>
      </w:r>
    </w:p>
    <w:p w:rsidR="006F013A" w:rsidRPr="00542F65" w:rsidRDefault="006F013A"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p>
    <w:p w:rsidR="006F013A" w:rsidRPr="00542F65" w:rsidRDefault="006F013A"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Güçlü sitokrom P450 CYP3A4 inhibitörleri (örn. eritromisin, sakinavir, ketokonazol, itrakonazol) ile birlikte kullanım, artan sildenafil plazma konsantrasyonları ile ilişkilendirilmiştir (Bkz. 4.5. Diğer tıbbi ürünler ile etkileşim ve diğer etkileşim şekilleri). Yüksek plazma konsantrasyonları gerek advers olayları gerekse etkinliği artıracağı için bu hastalarda 25 mg'lık bir başlangıç dozu düşünülmelidir.</w:t>
      </w:r>
    </w:p>
    <w:p w:rsidR="006F013A" w:rsidRPr="00542F65" w:rsidRDefault="006F013A"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p>
    <w:p w:rsidR="006F013A" w:rsidRPr="00542F65" w:rsidRDefault="001960A0"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Ritonavir ve sildenafilin birlikte kullanımı tavsiye edilmemektedir (bkz. Bölüm 4.5 Diğer tıbbi ürünler ile etkileşimler ve diğer etkileşim şekilleri).</w:t>
      </w:r>
    </w:p>
    <w:p w:rsidR="001960A0" w:rsidRPr="00542F65" w:rsidRDefault="001960A0"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p>
    <w:p w:rsidR="006F013A" w:rsidRPr="00542F65" w:rsidRDefault="00D1655A"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DEGRA</w:t>
      </w:r>
      <w:r w:rsidR="006F013A" w:rsidRPr="00542F65">
        <w:rPr>
          <w:rFonts w:ascii="Times New Roman" w:hAnsi="Times New Roman" w:cs="Times New Roman"/>
          <w:color w:val="0070C0"/>
          <w:spacing w:val="-4"/>
          <w:sz w:val="24"/>
          <w:szCs w:val="24"/>
        </w:rPr>
        <w:t>'nın nitratların hipotansif etkilerini potansiyelize ettiği gösterilmiştir ve bu nedenle nitrik oksit açığa çıkaran bileşikler veya nitratların herhangi bir formu ile beraber kullanılması kontrendikedir (Bkz Bölüm 4.3 Kontrendikasyonlar).</w:t>
      </w:r>
    </w:p>
    <w:p w:rsidR="006F013A" w:rsidRPr="00542F65" w:rsidRDefault="006F013A"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p>
    <w:p w:rsidR="006F013A" w:rsidRPr="00542F65" w:rsidRDefault="00D1655A"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DEGRA</w:t>
      </w:r>
      <w:r w:rsidR="006F013A" w:rsidRPr="00542F65">
        <w:rPr>
          <w:rFonts w:ascii="Times New Roman" w:hAnsi="Times New Roman" w:cs="Times New Roman"/>
          <w:color w:val="0070C0"/>
          <w:spacing w:val="-4"/>
          <w:sz w:val="24"/>
          <w:szCs w:val="24"/>
        </w:rPr>
        <w:t xml:space="preserve">'nın alfa-blokerler ile birlikte kullanıldığı durumlarda, postüral hipotansiyon gelişme potansiyelini en aza indirmek için, sildenafil tedavisine başlanmadan önce hastalar alfa-bloker tedavisi ile stabilize edilmiş olmalıdır. İlave olarak, sildenafil tedavisine </w:t>
      </w:r>
      <w:r w:rsidR="001960A0" w:rsidRPr="00542F65">
        <w:rPr>
          <w:rFonts w:ascii="Times New Roman" w:hAnsi="Times New Roman" w:cs="Times New Roman"/>
          <w:color w:val="0070C0"/>
          <w:spacing w:val="-4"/>
          <w:sz w:val="24"/>
          <w:szCs w:val="24"/>
        </w:rPr>
        <w:t>25 mg dozla</w:t>
      </w:r>
      <w:r w:rsidR="006F013A" w:rsidRPr="00542F65">
        <w:rPr>
          <w:rFonts w:ascii="Times New Roman" w:hAnsi="Times New Roman" w:cs="Times New Roman"/>
          <w:color w:val="0070C0"/>
          <w:spacing w:val="-4"/>
          <w:sz w:val="24"/>
          <w:szCs w:val="24"/>
        </w:rPr>
        <w:t xml:space="preserve"> başlanması da düşünülmelidir (Bkz. 4.4. Özel kullanım uyanları ve önlemleri ve 4.5 Diğer t</w:t>
      </w:r>
      <w:r w:rsidR="00AC5EFD" w:rsidRPr="00542F65">
        <w:rPr>
          <w:rFonts w:ascii="Times New Roman" w:hAnsi="Times New Roman" w:cs="Times New Roman"/>
          <w:color w:val="0070C0"/>
          <w:spacing w:val="-4"/>
          <w:sz w:val="24"/>
          <w:szCs w:val="24"/>
        </w:rPr>
        <w:t>ı</w:t>
      </w:r>
      <w:r w:rsidR="006F013A" w:rsidRPr="00542F65">
        <w:rPr>
          <w:rFonts w:ascii="Times New Roman" w:hAnsi="Times New Roman" w:cs="Times New Roman"/>
          <w:color w:val="0070C0"/>
          <w:spacing w:val="-4"/>
          <w:sz w:val="24"/>
          <w:szCs w:val="24"/>
        </w:rPr>
        <w:t>bbi ürünler ile etkileşimler ve diğer etkileşim şekilleri).</w:t>
      </w:r>
    </w:p>
    <w:p w:rsidR="006F013A" w:rsidRPr="00542F65" w:rsidRDefault="006F013A" w:rsidP="00A935F8">
      <w:pPr>
        <w:shd w:val="clear" w:color="auto" w:fill="FFFFFF"/>
        <w:tabs>
          <w:tab w:val="left" w:pos="680"/>
          <w:tab w:val="left" w:pos="709"/>
        </w:tabs>
        <w:spacing w:line="360" w:lineRule="auto"/>
        <w:ind w:right="51"/>
        <w:contextualSpacing/>
        <w:jc w:val="both"/>
        <w:rPr>
          <w:rFonts w:ascii="Times New Roman" w:hAnsi="Times New Roman" w:cs="Times New Roman"/>
          <w:color w:val="0070C0"/>
          <w:spacing w:val="-4"/>
          <w:sz w:val="24"/>
          <w:szCs w:val="24"/>
        </w:rPr>
      </w:pPr>
    </w:p>
    <w:p w:rsidR="00E16420" w:rsidRPr="00542F65" w:rsidRDefault="00E16420" w:rsidP="00A935F8">
      <w:pPr>
        <w:shd w:val="clear" w:color="auto" w:fill="FFFFFF"/>
        <w:tabs>
          <w:tab w:val="left" w:pos="680"/>
          <w:tab w:val="left" w:pos="709"/>
        </w:tabs>
        <w:spacing w:line="360" w:lineRule="auto"/>
        <w:ind w:right="51"/>
        <w:contextualSpacing/>
        <w:jc w:val="both"/>
        <w:rPr>
          <w:rFonts w:ascii="Times New Roman" w:hAnsi="Times New Roman" w:cs="Times New Roman"/>
          <w:b/>
          <w:bCs/>
          <w:color w:val="0070C0"/>
          <w:spacing w:val="-1"/>
          <w:sz w:val="24"/>
          <w:szCs w:val="24"/>
        </w:rPr>
      </w:pPr>
      <w:r w:rsidRPr="00542F65">
        <w:rPr>
          <w:rFonts w:ascii="Times New Roman" w:hAnsi="Times New Roman" w:cs="Times New Roman"/>
          <w:b/>
          <w:bCs/>
          <w:color w:val="0070C0"/>
          <w:spacing w:val="-1"/>
          <w:sz w:val="24"/>
          <w:szCs w:val="24"/>
        </w:rPr>
        <w:t>Özel popülasyonlara ilişkin ek bilgiler</w:t>
      </w:r>
    </w:p>
    <w:p w:rsidR="006F013A" w:rsidRPr="00542F65" w:rsidRDefault="00E16420" w:rsidP="00A935F8">
      <w:pPr>
        <w:shd w:val="clear" w:color="auto" w:fill="FFFFFF"/>
        <w:tabs>
          <w:tab w:val="left" w:pos="680"/>
          <w:tab w:val="left" w:pos="709"/>
        </w:tabs>
        <w:spacing w:line="360" w:lineRule="auto"/>
        <w:ind w:right="51"/>
        <w:contextualSpacing/>
        <w:jc w:val="both"/>
        <w:rPr>
          <w:rFonts w:ascii="Times New Roman" w:hAnsi="Times New Roman" w:cs="Times New Roman"/>
          <w:bCs/>
          <w:color w:val="0070C0"/>
          <w:spacing w:val="-1"/>
          <w:sz w:val="24"/>
          <w:szCs w:val="24"/>
        </w:rPr>
      </w:pPr>
      <w:r w:rsidRPr="00542F65">
        <w:rPr>
          <w:rFonts w:ascii="Times New Roman" w:hAnsi="Times New Roman" w:cs="Times New Roman"/>
          <w:b/>
          <w:bCs/>
          <w:color w:val="0070C0"/>
          <w:spacing w:val="-1"/>
          <w:sz w:val="24"/>
          <w:szCs w:val="24"/>
        </w:rPr>
        <w:t>Böbrek / karaciğer yetmezliği:</w:t>
      </w:r>
      <w:r w:rsidR="006F013A" w:rsidRPr="00542F65">
        <w:rPr>
          <w:rFonts w:ascii="Times New Roman" w:hAnsi="Times New Roman" w:cs="Times New Roman"/>
          <w:b/>
          <w:bCs/>
          <w:color w:val="0070C0"/>
          <w:spacing w:val="-1"/>
          <w:sz w:val="24"/>
          <w:szCs w:val="24"/>
        </w:rPr>
        <w:t xml:space="preserve"> </w:t>
      </w:r>
      <w:r w:rsidR="006F013A" w:rsidRPr="00542F65">
        <w:rPr>
          <w:rFonts w:ascii="Times New Roman" w:hAnsi="Times New Roman" w:cs="Times New Roman"/>
          <w:bCs/>
          <w:color w:val="0070C0"/>
          <w:spacing w:val="-1"/>
          <w:sz w:val="24"/>
          <w:szCs w:val="24"/>
        </w:rPr>
        <w:t>Hafif-orta şiddette (kreatinin klerensi = 30-80 mL/dakika) renal bozukluğu olan hastalarda (Bkz. Bölüm 5.2 Farmakokinetik özellikler/Böbrek Yetmezliği) dozaj ayarlamaları gerekli değildir. Şiddetli renal bozukluğu (kreatinin klerensi &lt; 30 mL/dakika) olan hastalarda sildenafil klerensi azaldığından 25 mg'lik doz düşünülmelidir.</w:t>
      </w:r>
      <w:r w:rsidR="00D27D9F" w:rsidRPr="00542F65">
        <w:rPr>
          <w:rFonts w:ascii="Times New Roman" w:hAnsi="Times New Roman" w:cs="Times New Roman"/>
          <w:bCs/>
          <w:color w:val="0070C0"/>
          <w:spacing w:val="-1"/>
          <w:sz w:val="24"/>
          <w:szCs w:val="24"/>
        </w:rPr>
        <w:t xml:space="preserve"> Etkinlik ve tolerans değerlendirilerek, gerektiğinde doz kademeli olarak 50 mg veya 100 mg’a çıkarılabilir.</w:t>
      </w:r>
    </w:p>
    <w:p w:rsidR="00D27D9F" w:rsidRPr="00542F65" w:rsidRDefault="00D27D9F" w:rsidP="00A935F8">
      <w:pPr>
        <w:shd w:val="clear" w:color="auto" w:fill="FFFFFF"/>
        <w:tabs>
          <w:tab w:val="left" w:pos="680"/>
          <w:tab w:val="left" w:pos="709"/>
        </w:tabs>
        <w:spacing w:line="360" w:lineRule="auto"/>
        <w:ind w:right="51"/>
        <w:contextualSpacing/>
        <w:jc w:val="both"/>
        <w:rPr>
          <w:rFonts w:ascii="Times New Roman" w:hAnsi="Times New Roman" w:cs="Times New Roman"/>
          <w:bCs/>
          <w:color w:val="0070C0"/>
          <w:spacing w:val="-1"/>
          <w:sz w:val="24"/>
          <w:szCs w:val="24"/>
        </w:rPr>
      </w:pPr>
    </w:p>
    <w:p w:rsidR="006F013A" w:rsidRPr="00542F65" w:rsidRDefault="006F013A" w:rsidP="00A935F8">
      <w:pPr>
        <w:shd w:val="clear" w:color="auto" w:fill="FFFFFF"/>
        <w:spacing w:line="360" w:lineRule="auto"/>
        <w:ind w:right="53"/>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Hepatik bozukluğu olan hastalarda (örneğin sirozda) sildenafil klerensi azaldığından (Bkz. 5.2 Farmakokinetik özellikler/Karaciğer Yetmezliği) 25 mg'lik doz düşünülmelidir.</w:t>
      </w:r>
    </w:p>
    <w:p w:rsidR="006D1B83" w:rsidRPr="00542F65" w:rsidRDefault="006D1B83" w:rsidP="00A935F8">
      <w:pPr>
        <w:shd w:val="clear" w:color="auto" w:fill="FFFFFF"/>
        <w:spacing w:line="360" w:lineRule="auto"/>
        <w:ind w:right="53"/>
        <w:contextualSpacing/>
        <w:jc w:val="both"/>
        <w:rPr>
          <w:rFonts w:ascii="Times New Roman" w:hAnsi="Times New Roman" w:cs="Times New Roman"/>
          <w:b/>
          <w:color w:val="0070C0"/>
          <w:spacing w:val="-4"/>
          <w:sz w:val="24"/>
          <w:szCs w:val="24"/>
        </w:rPr>
      </w:pPr>
    </w:p>
    <w:p w:rsidR="008A5077" w:rsidRPr="00542F65" w:rsidRDefault="006F013A" w:rsidP="00A935F8">
      <w:pPr>
        <w:shd w:val="clear" w:color="auto" w:fill="FFFFFF"/>
        <w:spacing w:line="360" w:lineRule="auto"/>
        <w:ind w:right="53"/>
        <w:contextualSpacing/>
        <w:jc w:val="both"/>
        <w:rPr>
          <w:rFonts w:ascii="Times New Roman" w:hAnsi="Times New Roman" w:cs="Times New Roman"/>
          <w:color w:val="0070C0"/>
          <w:spacing w:val="-4"/>
          <w:sz w:val="24"/>
          <w:szCs w:val="24"/>
        </w:rPr>
      </w:pPr>
      <w:r w:rsidRPr="00542F65">
        <w:rPr>
          <w:rFonts w:ascii="Times New Roman" w:hAnsi="Times New Roman" w:cs="Times New Roman"/>
          <w:b/>
          <w:color w:val="0070C0"/>
          <w:spacing w:val="-4"/>
          <w:sz w:val="24"/>
          <w:szCs w:val="24"/>
        </w:rPr>
        <w:t>Pediyatrik popülasyon:</w:t>
      </w:r>
      <w:r w:rsidRPr="00542F65">
        <w:rPr>
          <w:rFonts w:ascii="Times New Roman" w:hAnsi="Times New Roman" w:cs="Times New Roman"/>
          <w:color w:val="0070C0"/>
          <w:spacing w:val="-4"/>
          <w:sz w:val="24"/>
          <w:szCs w:val="24"/>
        </w:rPr>
        <w:t xml:space="preserve"> Sildenafil çocuklarda (18 yaşından küçüklerde) endike değildir. </w:t>
      </w: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pacing w:val="-4"/>
          <w:sz w:val="24"/>
          <w:szCs w:val="24"/>
        </w:rPr>
      </w:pPr>
    </w:p>
    <w:p w:rsidR="00C612D5" w:rsidRPr="00542F65" w:rsidRDefault="006F013A" w:rsidP="00A935F8">
      <w:pPr>
        <w:shd w:val="clear" w:color="auto" w:fill="FFFFFF"/>
        <w:spacing w:line="360" w:lineRule="auto"/>
        <w:ind w:right="53"/>
        <w:contextualSpacing/>
        <w:jc w:val="both"/>
        <w:rPr>
          <w:rFonts w:ascii="Times New Roman" w:hAnsi="Times New Roman" w:cs="Times New Roman"/>
          <w:color w:val="0070C0"/>
          <w:spacing w:val="-4"/>
          <w:sz w:val="24"/>
          <w:szCs w:val="24"/>
        </w:rPr>
      </w:pPr>
      <w:r w:rsidRPr="00542F65">
        <w:rPr>
          <w:rFonts w:ascii="Times New Roman" w:hAnsi="Times New Roman" w:cs="Times New Roman"/>
          <w:b/>
          <w:color w:val="0070C0"/>
          <w:spacing w:val="-4"/>
          <w:sz w:val="24"/>
          <w:szCs w:val="24"/>
        </w:rPr>
        <w:t>Geriatrik popülasyon</w:t>
      </w:r>
      <w:r w:rsidR="008A5077" w:rsidRPr="00542F65">
        <w:rPr>
          <w:rFonts w:ascii="Times New Roman" w:hAnsi="Times New Roman" w:cs="Times New Roman"/>
          <w:b/>
          <w:color w:val="0070C0"/>
          <w:spacing w:val="-4"/>
          <w:sz w:val="24"/>
          <w:szCs w:val="24"/>
        </w:rPr>
        <w:t xml:space="preserve">: </w:t>
      </w:r>
      <w:r w:rsidRPr="00542F65">
        <w:rPr>
          <w:rFonts w:ascii="Times New Roman" w:hAnsi="Times New Roman" w:cs="Times New Roman"/>
          <w:color w:val="0070C0"/>
          <w:spacing w:val="-4"/>
          <w:sz w:val="24"/>
          <w:szCs w:val="24"/>
        </w:rPr>
        <w:t xml:space="preserve">Yaşlı hastalarda </w:t>
      </w:r>
      <w:r w:rsidR="00D27D9F" w:rsidRPr="00542F65">
        <w:rPr>
          <w:rFonts w:ascii="Times New Roman" w:hAnsi="Times New Roman" w:cs="Times New Roman"/>
          <w:color w:val="0070C0"/>
          <w:spacing w:val="-4"/>
          <w:sz w:val="24"/>
          <w:szCs w:val="24"/>
        </w:rPr>
        <w:t xml:space="preserve">(≥ 65 yaş) </w:t>
      </w:r>
      <w:r w:rsidRPr="00542F65">
        <w:rPr>
          <w:rFonts w:ascii="Times New Roman" w:hAnsi="Times New Roman" w:cs="Times New Roman"/>
          <w:color w:val="0070C0"/>
          <w:spacing w:val="-4"/>
          <w:sz w:val="24"/>
          <w:szCs w:val="24"/>
        </w:rPr>
        <w:t>dozaj ayarlamaları gerekli değildir.</w:t>
      </w:r>
    </w:p>
    <w:p w:rsidR="00C612D5" w:rsidRPr="004C4DF2" w:rsidRDefault="00C612D5" w:rsidP="00A935F8">
      <w:pPr>
        <w:shd w:val="clear" w:color="auto" w:fill="FFFFFF"/>
        <w:spacing w:line="360" w:lineRule="auto"/>
        <w:ind w:right="53"/>
        <w:contextualSpacing/>
        <w:jc w:val="both"/>
        <w:rPr>
          <w:rFonts w:ascii="Times New Roman" w:hAnsi="Times New Roman" w:cs="Times New Roman"/>
          <w:sz w:val="24"/>
          <w:szCs w:val="24"/>
        </w:rPr>
      </w:pPr>
    </w:p>
    <w:p w:rsidR="00851BDE" w:rsidRPr="00851BDE" w:rsidRDefault="00D66584" w:rsidP="00A935F8">
      <w:pPr>
        <w:shd w:val="clear" w:color="auto" w:fill="FFFFFF"/>
        <w:tabs>
          <w:tab w:val="left" w:pos="680"/>
          <w:tab w:val="left" w:pos="709"/>
        </w:tabs>
        <w:spacing w:line="360" w:lineRule="auto"/>
        <w:ind w:right="51"/>
        <w:contextualSpacing/>
        <w:jc w:val="both"/>
        <w:rPr>
          <w:rFonts w:ascii="Times New Roman" w:hAnsi="Times New Roman" w:cs="Times New Roman"/>
          <w:b/>
          <w:bCs/>
          <w:color w:val="000000"/>
          <w:spacing w:val="-1"/>
          <w:sz w:val="24"/>
          <w:szCs w:val="24"/>
        </w:rPr>
      </w:pPr>
      <w:r>
        <w:rPr>
          <w:rFonts w:ascii="Times New Roman" w:hAnsi="Times New Roman" w:cs="Times New Roman"/>
          <w:b/>
          <w:bCs/>
          <w:noProof/>
          <w:color w:val="000000"/>
          <w:spacing w:val="-1"/>
          <w:sz w:val="24"/>
          <w:szCs w:val="24"/>
        </w:rPr>
        <w:pict>
          <v:rect id="_x0000_s1026" style="position:absolute;left:0;text-align:left;margin-left:-8.75pt;margin-top:18.45pt;width:7in;height:390.65pt;z-index:1" filled="f"/>
        </w:pict>
      </w:r>
      <w:r w:rsidR="00E16420" w:rsidRPr="004C4DF2">
        <w:rPr>
          <w:rFonts w:ascii="Times New Roman" w:hAnsi="Times New Roman" w:cs="Times New Roman"/>
          <w:b/>
          <w:bCs/>
          <w:color w:val="000000"/>
          <w:spacing w:val="-1"/>
          <w:sz w:val="24"/>
          <w:szCs w:val="24"/>
        </w:rPr>
        <w:t>4.3.</w:t>
      </w:r>
      <w:r w:rsidR="00C612D5" w:rsidRPr="004C4DF2">
        <w:rPr>
          <w:rFonts w:ascii="Times New Roman" w:hAnsi="Times New Roman" w:cs="Times New Roman"/>
          <w:b/>
          <w:bCs/>
          <w:color w:val="000000"/>
          <w:spacing w:val="-1"/>
          <w:sz w:val="24"/>
          <w:szCs w:val="24"/>
        </w:rPr>
        <w:t xml:space="preserve"> </w:t>
      </w:r>
      <w:r w:rsidR="00E16420" w:rsidRPr="004C4DF2">
        <w:rPr>
          <w:rFonts w:ascii="Times New Roman" w:hAnsi="Times New Roman" w:cs="Times New Roman"/>
          <w:b/>
          <w:bCs/>
          <w:color w:val="000000"/>
          <w:spacing w:val="-1"/>
          <w:sz w:val="24"/>
          <w:szCs w:val="24"/>
        </w:rPr>
        <w:t>Kontrendikasyonlar</w:t>
      </w:r>
    </w:p>
    <w:p w:rsidR="00851BDE" w:rsidRPr="00542F65" w:rsidRDefault="00851BDE" w:rsidP="00A935F8">
      <w:pPr>
        <w:pStyle w:val="Default"/>
        <w:numPr>
          <w:ilvl w:val="0"/>
          <w:numId w:val="9"/>
        </w:numPr>
        <w:spacing w:line="360" w:lineRule="auto"/>
        <w:ind w:left="284"/>
        <w:jc w:val="both"/>
        <w:rPr>
          <w:color w:val="0070C0"/>
        </w:rPr>
      </w:pPr>
      <w:r w:rsidRPr="00542F65">
        <w:rPr>
          <w:color w:val="0070C0"/>
        </w:rPr>
        <w:t xml:space="preserve">Etkin madde veya bölüm 6.1’de yer alan yardımcı maddelere karşı aşırı duyarlılığı bulunan hastalarda kontrendikedir. </w:t>
      </w:r>
    </w:p>
    <w:p w:rsidR="008A5077" w:rsidRPr="00542F65" w:rsidRDefault="008A5077" w:rsidP="00A935F8">
      <w:pPr>
        <w:pStyle w:val="Default"/>
        <w:numPr>
          <w:ilvl w:val="0"/>
          <w:numId w:val="9"/>
        </w:numPr>
        <w:spacing w:line="360" w:lineRule="auto"/>
        <w:ind w:left="284"/>
        <w:jc w:val="both"/>
        <w:rPr>
          <w:color w:val="0070C0"/>
        </w:rPr>
      </w:pPr>
      <w:r w:rsidRPr="00542F65">
        <w:rPr>
          <w:color w:val="0070C0"/>
          <w:spacing w:val="-6"/>
        </w:rPr>
        <w:t>Nitrik oksit/siklik GMP yolu üzerine bilinen etkisi ile uyumlu ola</w:t>
      </w:r>
      <w:r w:rsidR="00851BDE" w:rsidRPr="00542F65">
        <w:rPr>
          <w:color w:val="0070C0"/>
          <w:spacing w:val="-6"/>
        </w:rPr>
        <w:t xml:space="preserve">rak (Bkz. Bölüm 5. Farmakolojik </w:t>
      </w:r>
      <w:r w:rsidRPr="00542F65">
        <w:rPr>
          <w:color w:val="0070C0"/>
          <w:spacing w:val="-6"/>
        </w:rPr>
        <w:t>Özellikler), sildenafilin nitratların hipotansif etkilerini potansiyelize ettiği gösterilmiştir ve bu nedenle nitrik oksit açığa çıkaran bileşikler (amil nitrat, butil nitrat gibi) veya nitratların herhangi bir formu ile beraber (Nitrogliserin, isosorbid mononitrat, isosorbid nitrat, pentaeritritol tetranitrat, eritritol tetranitrat, isosorbid dinitrat/fenobarbital gibi) verilmesi kontrendikedir.</w:t>
      </w:r>
    </w:p>
    <w:p w:rsidR="00851BDE" w:rsidRPr="00542F65" w:rsidRDefault="008A5077" w:rsidP="00A935F8">
      <w:pPr>
        <w:numPr>
          <w:ilvl w:val="0"/>
          <w:numId w:val="3"/>
        </w:numPr>
        <w:shd w:val="clear" w:color="auto" w:fill="FFFFFF"/>
        <w:tabs>
          <w:tab w:val="left" w:pos="1051"/>
        </w:tabs>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Non-arteritik anterior iskemik optik nöropatisi olanlarda kontrendikedir.</w:t>
      </w:r>
    </w:p>
    <w:p w:rsidR="00851BDE" w:rsidRPr="00542F65" w:rsidRDefault="008A5077" w:rsidP="00A935F8">
      <w:pPr>
        <w:numPr>
          <w:ilvl w:val="0"/>
          <w:numId w:val="3"/>
        </w:numPr>
        <w:shd w:val="clear" w:color="auto" w:fill="FFFFFF"/>
        <w:tabs>
          <w:tab w:val="left" w:pos="1051"/>
        </w:tabs>
        <w:spacing w:line="360" w:lineRule="auto"/>
        <w:ind w:left="284" w:right="53" w:hanging="284"/>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Erektil disfonksiyonda kullanılan ilaçlar (sildenafil dahil) seksüel</w:t>
      </w:r>
      <w:r w:rsidR="00851BDE" w:rsidRPr="00542F65">
        <w:rPr>
          <w:rFonts w:ascii="Times New Roman" w:hAnsi="Times New Roman" w:cs="Times New Roman"/>
          <w:color w:val="0070C0"/>
          <w:spacing w:val="-6"/>
          <w:sz w:val="24"/>
          <w:szCs w:val="24"/>
        </w:rPr>
        <w:t xml:space="preserve"> aktivitenin tavsiye edilmediği </w:t>
      </w:r>
      <w:r w:rsidRPr="00542F65">
        <w:rPr>
          <w:rFonts w:ascii="Times New Roman" w:hAnsi="Times New Roman" w:cs="Times New Roman"/>
          <w:color w:val="0070C0"/>
          <w:spacing w:val="-6"/>
          <w:sz w:val="24"/>
          <w:szCs w:val="24"/>
        </w:rPr>
        <w:t>hastalarda (stabil olmayan anjina gibi ciddi kardiyovasküler bozukluklar ve ciddi kardiyak hastalıklarda) önerilmez.</w:t>
      </w:r>
    </w:p>
    <w:p w:rsidR="008A5077" w:rsidRPr="00542F65" w:rsidRDefault="008A5077" w:rsidP="00A935F8">
      <w:pPr>
        <w:shd w:val="clear" w:color="auto" w:fill="FFFFFF"/>
        <w:tabs>
          <w:tab w:val="left" w:pos="1051"/>
        </w:tabs>
        <w:spacing w:line="360" w:lineRule="auto"/>
        <w:ind w:left="284"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Sildenafilin güvenliliği aşağıdaki hasta gruplarında çalışılmamıştır dolayısıyla daha ileri bilgi edininceye kadar bu hastalarda kullanılması kontrendikedir:</w:t>
      </w:r>
    </w:p>
    <w:p w:rsidR="008A5077" w:rsidRPr="00542F65" w:rsidRDefault="008A5077" w:rsidP="00A935F8">
      <w:pPr>
        <w:numPr>
          <w:ilvl w:val="0"/>
          <w:numId w:val="3"/>
        </w:numPr>
        <w:shd w:val="clear" w:color="auto" w:fill="FFFFFF"/>
        <w:tabs>
          <w:tab w:val="left" w:pos="1051"/>
        </w:tabs>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Ciddi karaciğer yetmezliği,</w:t>
      </w:r>
    </w:p>
    <w:p w:rsidR="00851BDE" w:rsidRPr="00542F65" w:rsidRDefault="008A5077" w:rsidP="00A935F8">
      <w:pPr>
        <w:numPr>
          <w:ilvl w:val="0"/>
          <w:numId w:val="3"/>
        </w:numPr>
        <w:shd w:val="clear" w:color="auto" w:fill="FFFFFF"/>
        <w:tabs>
          <w:tab w:val="left" w:pos="1051"/>
        </w:tabs>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Hipotansiyon(Kan basıncı &lt;90/50 mmHg),</w:t>
      </w:r>
    </w:p>
    <w:p w:rsidR="008A5077" w:rsidRPr="00542F65" w:rsidRDefault="00851BDE" w:rsidP="00A935F8">
      <w:pPr>
        <w:numPr>
          <w:ilvl w:val="0"/>
          <w:numId w:val="3"/>
        </w:numPr>
        <w:shd w:val="clear" w:color="auto" w:fill="FFFFFF"/>
        <w:tabs>
          <w:tab w:val="left" w:pos="1051"/>
        </w:tabs>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z w:val="24"/>
          <w:szCs w:val="24"/>
        </w:rPr>
        <w:t xml:space="preserve">Yakın zamanda geçirilmiş inme veya miyokard enfarktüsü olanlar, </w:t>
      </w:r>
    </w:p>
    <w:p w:rsidR="008A5077" w:rsidRPr="00542F65" w:rsidRDefault="008A5077" w:rsidP="00A935F8">
      <w:pPr>
        <w:numPr>
          <w:ilvl w:val="0"/>
          <w:numId w:val="3"/>
        </w:numPr>
        <w:shd w:val="clear" w:color="auto" w:fill="FFFFFF"/>
        <w:tabs>
          <w:tab w:val="left" w:pos="1051"/>
        </w:tabs>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Retinitis pigmentosa gibi herediter dejeneratif retinal bozukluğu olanlar (bu hastaların az bir kısmında genetik retinal fosfodiesteraz bozukluğu vardır).</w:t>
      </w:r>
    </w:p>
    <w:p w:rsidR="00C612D5" w:rsidRPr="004C4DF2" w:rsidRDefault="00C612D5" w:rsidP="00A935F8">
      <w:pPr>
        <w:shd w:val="clear" w:color="auto" w:fill="FFFFFF"/>
        <w:spacing w:line="360" w:lineRule="auto"/>
        <w:ind w:right="53"/>
        <w:contextualSpacing/>
        <w:jc w:val="both"/>
        <w:rPr>
          <w:rFonts w:ascii="Times New Roman" w:hAnsi="Times New Roman" w:cs="Times New Roman"/>
          <w:sz w:val="24"/>
          <w:szCs w:val="24"/>
        </w:rPr>
      </w:pPr>
    </w:p>
    <w:p w:rsidR="00E16420" w:rsidRPr="004C4DF2" w:rsidRDefault="00E16420" w:rsidP="00A935F8">
      <w:pPr>
        <w:shd w:val="clear" w:color="auto" w:fill="FFFFFF"/>
        <w:tabs>
          <w:tab w:val="left" w:pos="680"/>
          <w:tab w:val="left" w:pos="709"/>
        </w:tabs>
        <w:spacing w:line="360" w:lineRule="auto"/>
        <w:ind w:right="51"/>
        <w:contextualSpacing/>
        <w:jc w:val="both"/>
        <w:rPr>
          <w:rFonts w:ascii="Times New Roman" w:hAnsi="Times New Roman" w:cs="Times New Roman"/>
          <w:b/>
          <w:bCs/>
          <w:color w:val="000000"/>
          <w:spacing w:val="-1"/>
          <w:sz w:val="24"/>
          <w:szCs w:val="24"/>
        </w:rPr>
      </w:pPr>
      <w:r w:rsidRPr="004C4DF2">
        <w:rPr>
          <w:rFonts w:ascii="Times New Roman" w:hAnsi="Times New Roman" w:cs="Times New Roman"/>
          <w:b/>
          <w:bCs/>
          <w:color w:val="000000"/>
          <w:spacing w:val="-1"/>
          <w:sz w:val="24"/>
          <w:szCs w:val="24"/>
        </w:rPr>
        <w:t>4.4.</w:t>
      </w:r>
      <w:r w:rsidR="00C612D5" w:rsidRPr="004C4DF2">
        <w:rPr>
          <w:rFonts w:ascii="Times New Roman" w:hAnsi="Times New Roman" w:cs="Times New Roman"/>
          <w:b/>
          <w:bCs/>
          <w:color w:val="000000"/>
          <w:spacing w:val="-1"/>
          <w:sz w:val="24"/>
          <w:szCs w:val="24"/>
        </w:rPr>
        <w:t xml:space="preserve"> </w:t>
      </w:r>
      <w:r w:rsidRPr="004C4DF2">
        <w:rPr>
          <w:rFonts w:ascii="Times New Roman" w:hAnsi="Times New Roman" w:cs="Times New Roman"/>
          <w:b/>
          <w:bCs/>
          <w:color w:val="000000"/>
          <w:spacing w:val="-1"/>
          <w:sz w:val="24"/>
          <w:szCs w:val="24"/>
        </w:rPr>
        <w:t>Özel kullanım uyarıları ve önlemleri</w:t>
      </w: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Farmakolojik tedaviye başlamadan önce, erektil disfonksiyonu teşhis etmek, altta yatan potansiyel sebepleri belirlemek için hastanın anamnezinin tam olarak alınması ve fizik muayenesi gereklidir.</w:t>
      </w:r>
    </w:p>
    <w:p w:rsidR="0008308E" w:rsidRPr="00542F65" w:rsidRDefault="0008308E" w:rsidP="00A935F8">
      <w:pPr>
        <w:shd w:val="clear" w:color="auto" w:fill="FFFFFF"/>
        <w:spacing w:line="360" w:lineRule="auto"/>
        <w:ind w:right="53"/>
        <w:contextualSpacing/>
        <w:jc w:val="both"/>
        <w:rPr>
          <w:rFonts w:ascii="Times New Roman" w:hAnsi="Times New Roman" w:cs="Times New Roman"/>
          <w:color w:val="0070C0"/>
          <w:spacing w:val="-5"/>
          <w:sz w:val="24"/>
          <w:szCs w:val="24"/>
          <w:u w:val="single"/>
        </w:rPr>
      </w:pPr>
    </w:p>
    <w:p w:rsidR="008A5077" w:rsidRPr="00542F65" w:rsidRDefault="0008308E" w:rsidP="00A935F8">
      <w:pPr>
        <w:shd w:val="clear" w:color="auto" w:fill="FFFFFF"/>
        <w:spacing w:line="360" w:lineRule="auto"/>
        <w:ind w:right="53"/>
        <w:contextualSpacing/>
        <w:jc w:val="both"/>
        <w:rPr>
          <w:rFonts w:ascii="Times New Roman" w:hAnsi="Times New Roman" w:cs="Times New Roman"/>
          <w:color w:val="0070C0"/>
          <w:spacing w:val="-5"/>
          <w:sz w:val="24"/>
          <w:szCs w:val="24"/>
          <w:u w:val="single"/>
        </w:rPr>
      </w:pPr>
      <w:r w:rsidRPr="00542F65">
        <w:rPr>
          <w:rFonts w:ascii="Times New Roman" w:hAnsi="Times New Roman" w:cs="Times New Roman"/>
          <w:color w:val="0070C0"/>
          <w:spacing w:val="-5"/>
          <w:sz w:val="24"/>
          <w:szCs w:val="24"/>
          <w:u w:val="single"/>
        </w:rPr>
        <w:t>Kardiyovasküler risk faktörleri</w:t>
      </w:r>
    </w:p>
    <w:p w:rsidR="0008308E" w:rsidRPr="00542F65" w:rsidRDefault="008A507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Seksüel aktiviteye eşlik eden belli derecede kardi</w:t>
      </w:r>
      <w:r w:rsidR="001D00F9" w:rsidRPr="00542F65">
        <w:rPr>
          <w:rFonts w:ascii="Times New Roman" w:hAnsi="Times New Roman" w:cs="Times New Roman"/>
          <w:color w:val="0070C0"/>
          <w:spacing w:val="-5"/>
          <w:sz w:val="24"/>
          <w:szCs w:val="24"/>
        </w:rPr>
        <w:t>y</w:t>
      </w:r>
      <w:r w:rsidRPr="00542F65">
        <w:rPr>
          <w:rFonts w:ascii="Times New Roman" w:hAnsi="Times New Roman" w:cs="Times New Roman"/>
          <w:color w:val="0070C0"/>
          <w:spacing w:val="-5"/>
          <w:sz w:val="24"/>
          <w:szCs w:val="24"/>
        </w:rPr>
        <w:t>ak risk söz konusudur. Bu nedenle, hekim erektil disfonksiyon tedavisine başlamadan önce hastanın kardiyovasküler durumunu tetkik etmelidir.</w:t>
      </w:r>
      <w:r w:rsidR="0008308E" w:rsidRPr="00542F65">
        <w:rPr>
          <w:rFonts w:ascii="Times New Roman" w:hAnsi="Times New Roman" w:cs="Times New Roman"/>
          <w:color w:val="0070C0"/>
          <w:spacing w:val="-5"/>
          <w:sz w:val="24"/>
          <w:szCs w:val="24"/>
        </w:rPr>
        <w:t xml:space="preserve"> Sildenafil kan basıncında hafif ve geçici düşüşlere neden olan vazodilatör özelliklere sahiptir (Bkz. Bölüm 5.1). Hekimler sildenafil reçetelemeden önce, özellikle seksüel aktivite ile birlikte altta yatan durumları olan hastalarının bu vazodilatör etkilerden kötü yönde etkilenmesini dikkatle değerlendirmelidir. Vazodilatörlere artmış hassasiyeti olan hastalar; sol ventrikül çıkış obstrüksiyonu (örn. aortik stenoz, </w:t>
      </w:r>
      <w:r w:rsidR="0008308E" w:rsidRPr="00542F65">
        <w:rPr>
          <w:rFonts w:ascii="Times New Roman" w:hAnsi="Times New Roman" w:cs="Times New Roman"/>
          <w:color w:val="0070C0"/>
          <w:spacing w:val="-5"/>
          <w:sz w:val="24"/>
          <w:szCs w:val="24"/>
        </w:rPr>
        <w:lastRenderedPageBreak/>
        <w:t>hipertrofik obstrüktif kardiyomiyopati) olanları veya kan basıncının ciddi derecede bozulmuş otonomik kontrolü ile kendini gösteren seyrek görülen bir çoklu sistem atrofisi sendromu olanları içerir.</w:t>
      </w:r>
    </w:p>
    <w:p w:rsidR="008A5077" w:rsidRPr="00542F65" w:rsidRDefault="0008308E"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DEGRA nitratların hipotansif etkisini kuvvetlendirir (Bkz. Bölüm 4.3 Kontrendikasyonlar).</w:t>
      </w:r>
    </w:p>
    <w:p w:rsidR="0008308E" w:rsidRPr="00542F65" w:rsidRDefault="0008308E"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8A507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Miyokard enfarktüsü, stabil olmayan anjina, ani kardiyak ölüm, ventriküler aritmi, serebrovasküler hemoraji, geçici iskemik atak, hipertansiyon ve hipotansiyon da dahil olmak üzere ciddi kardiyovasküler olaylar, erektil disfonksiyon için sildenafil kullanımı ile geçici olarak ilişkilendirilmiş pazarlama sonrası bildirimler mevcuttur. Hepsinde olmamakla beraber, hastaların çoğunda önceden bir kardiyovasküler risk faktörü olduğu bilinmektedir. Bu olayların çoğunun cinsel aktivite sırasında veya hemen sonrasında ve bazılarının ise, herhangi bir cinsel aktivite olmaksızın, sildenafil kullanımını takiben kısa sürede meydana geldiği bildirilmiştir. Bu olayların direkt olarak bu faktörlere veya başka faktörlere bağlı olup olmadığını belirlemek mümkün değildir.</w:t>
      </w: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u w:val="single"/>
        </w:rPr>
      </w:pPr>
      <w:r w:rsidRPr="00542F65">
        <w:rPr>
          <w:rFonts w:ascii="Times New Roman" w:hAnsi="Times New Roman" w:cs="Times New Roman"/>
          <w:color w:val="0070C0"/>
          <w:spacing w:val="-5"/>
          <w:sz w:val="24"/>
          <w:szCs w:val="24"/>
          <w:u w:val="single"/>
        </w:rPr>
        <w:t>Priapizm</w:t>
      </w: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Erektil disfonksiyon tedavisinde kullanılan ajanlar, penisin anatomik deformasyonlarında (angülasyon, kavernosal fibrosis veya Peyronie hastalığı gibi) veya priapizme sebep olabilecek predispoze durumlarda (orak hücre anemisi, multipl miyelom veya lösemi gibi ) dikkatli kullanılmalıdırlar.</w:t>
      </w: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Pazarlama sonrası deneyimde sildenafil kullanımıyla uzamış ereksiyon ve priapizm rapor edilmiştir. 4 saatten uzun süren ereksiyon olduğunda hasta acilen medikal yardım almalıdır. Priapizm hemen tedavi edilmezse, penil doku hasarı ve kalıcı potens kaybı ile sonuçlanabilir.</w:t>
      </w: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u w:val="single"/>
        </w:rPr>
      </w:pPr>
      <w:r w:rsidRPr="00542F65">
        <w:rPr>
          <w:rFonts w:ascii="Times New Roman" w:hAnsi="Times New Roman" w:cs="Times New Roman"/>
          <w:color w:val="0070C0"/>
          <w:spacing w:val="-5"/>
          <w:sz w:val="24"/>
          <w:szCs w:val="24"/>
          <w:u w:val="single"/>
        </w:rPr>
        <w:t>Diğer PDE5 inhibitörleri veya diğer erektil disfonksiyon tedavileri ile birlikte kullanım</w:t>
      </w: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Sildenafilin diğer PDE5 inhibitörleri veya sildenafil içeren pulmoner arteriyel hipertansiyon tedavisinde kullanılan diğer ilaçlar veya diğer erektil disfonksiyon tedavileri ile kombine kullanımının etkinlik ve güvenliliği henüz değerlendirilmemiştir. Bu sebeple bu tür kombine uygulamalar tavsiye edilmez.</w:t>
      </w: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u w:val="single"/>
        </w:rPr>
      </w:pPr>
      <w:r w:rsidRPr="00542F65">
        <w:rPr>
          <w:rFonts w:ascii="Times New Roman" w:hAnsi="Times New Roman" w:cs="Times New Roman"/>
          <w:color w:val="0070C0"/>
          <w:spacing w:val="-5"/>
          <w:sz w:val="24"/>
          <w:szCs w:val="24"/>
          <w:u w:val="single"/>
        </w:rPr>
        <w:t>Görüş üzerine etkileri</w:t>
      </w: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Sildenafil ve diğer PDE5 inhibitörlerinin kullanımı ile bağlantılı spontane olarak görüş bozuklukları vakaları rapor edilmiştir (Bkz. Bölüm 4.8). Sildenafil ve diğer PDE5 inhibitörlerinin alımı ile bağlantılı spontane olarak ve bir gözlemsel çalışmada seyrek görülen bir durum olan non-arteritik anterior iskemik optik nöropati (NAION) vakaları rapor edilmiştir (Bkz. Bölüm 4.8). Hastalara herhangi bir ani görüş bozukluğu durumunda DEGRA kullanmayı bırakmaları ve acilen bir hekime danışmaları önerilmelidir (Bkz. Bölüm 4.3 Kontrendikasyonlar).</w:t>
      </w: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u w:val="single"/>
        </w:rPr>
      </w:pPr>
      <w:r w:rsidRPr="00542F65">
        <w:rPr>
          <w:rFonts w:ascii="Times New Roman" w:hAnsi="Times New Roman" w:cs="Times New Roman"/>
          <w:color w:val="0070C0"/>
          <w:spacing w:val="-5"/>
          <w:sz w:val="24"/>
          <w:szCs w:val="24"/>
          <w:u w:val="single"/>
        </w:rPr>
        <w:lastRenderedPageBreak/>
        <w:t>Ritonavir ile birlikte kullanımı</w:t>
      </w:r>
    </w:p>
    <w:p w:rsidR="008A507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Sildenafilin ritonavir ile kullanımı tavsiye edilmemektedir (Bkz. Bölüm 4.5 Diğer tıbbi ürünler ile etkileşimler ve diğer etkileşim şekilleri).</w:t>
      </w: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u w:val="single"/>
        </w:rPr>
      </w:pPr>
      <w:r w:rsidRPr="00542F65">
        <w:rPr>
          <w:rFonts w:ascii="Times New Roman" w:hAnsi="Times New Roman" w:cs="Times New Roman"/>
          <w:color w:val="0070C0"/>
          <w:spacing w:val="-5"/>
          <w:sz w:val="24"/>
          <w:szCs w:val="24"/>
          <w:u w:val="single"/>
        </w:rPr>
        <w:t>Alfa-blokerler ile birlikte kullanımı</w:t>
      </w: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 xml:space="preserve">Alfa-bloker tedavisi gören hastalarda beraberinde sildenafil uygulanması duyarlı bazı bireylerde </w:t>
      </w:r>
      <w:r w:rsidR="00DB17B7" w:rsidRPr="00542F65">
        <w:rPr>
          <w:rFonts w:ascii="Times New Roman" w:hAnsi="Times New Roman" w:cs="Times New Roman"/>
          <w:color w:val="0070C0"/>
          <w:spacing w:val="-5"/>
          <w:sz w:val="24"/>
          <w:szCs w:val="24"/>
        </w:rPr>
        <w:t xml:space="preserve">semptomatik </w:t>
      </w:r>
      <w:r w:rsidRPr="00542F65">
        <w:rPr>
          <w:rFonts w:ascii="Times New Roman" w:hAnsi="Times New Roman" w:cs="Times New Roman"/>
          <w:color w:val="0070C0"/>
          <w:spacing w:val="-5"/>
          <w:sz w:val="24"/>
          <w:szCs w:val="24"/>
        </w:rPr>
        <w:t xml:space="preserve">hipotansiyona yol açabileceğinden, dikkatli olunması önerilir (Bkz. 4.5. Diğer tıbbi ürünler ile etkileşimler ve diğer etkileşim şekilleri). </w:t>
      </w:r>
      <w:r w:rsidR="00DB17B7" w:rsidRPr="00542F65">
        <w:rPr>
          <w:rFonts w:ascii="Times New Roman" w:hAnsi="Times New Roman" w:cs="Times New Roman"/>
          <w:color w:val="0070C0"/>
          <w:spacing w:val="-5"/>
          <w:sz w:val="24"/>
          <w:szCs w:val="24"/>
        </w:rPr>
        <w:t xml:space="preserve">Bu durum genellikle sildenafil dozlamasını takiben 4 saat içinde oluşur. </w:t>
      </w:r>
      <w:r w:rsidRPr="00542F65">
        <w:rPr>
          <w:rFonts w:ascii="Times New Roman" w:hAnsi="Times New Roman" w:cs="Times New Roman"/>
          <w:color w:val="0070C0"/>
          <w:spacing w:val="-5"/>
          <w:sz w:val="24"/>
          <w:szCs w:val="24"/>
        </w:rPr>
        <w:t xml:space="preserve">Postüral hipotansiyon gelişme potansiyelini en aza indirmek için, sildenafil tedavisine başlanmadan önce hastaların alfa-bloker tedavisinde hemodinamik olarak stabil olmaları gerekir. </w:t>
      </w:r>
      <w:r w:rsidR="00DB17B7" w:rsidRPr="00542F65">
        <w:rPr>
          <w:rFonts w:ascii="Times New Roman" w:hAnsi="Times New Roman" w:cs="Times New Roman"/>
          <w:color w:val="0070C0"/>
          <w:spacing w:val="-5"/>
          <w:sz w:val="24"/>
          <w:szCs w:val="24"/>
        </w:rPr>
        <w:t xml:space="preserve">Sildenafil tedavisine 25 mg doz ile başlanması düşünülmelidir </w:t>
      </w:r>
      <w:r w:rsidRPr="00542F65">
        <w:rPr>
          <w:rFonts w:ascii="Times New Roman" w:hAnsi="Times New Roman" w:cs="Times New Roman"/>
          <w:color w:val="0070C0"/>
          <w:spacing w:val="-5"/>
          <w:sz w:val="24"/>
          <w:szCs w:val="24"/>
        </w:rPr>
        <w:t>(Bkz.4.2. Pozoloji ve uygulama şekli). Hekimler, ayrıca, postüral hipotansif semptomlar söz konusu olduğunda ne yapılması gerektiği konusunda hastalarına tavsiyede bulunmalıdırlar.</w:t>
      </w: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8A507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u w:val="single"/>
        </w:rPr>
      </w:pPr>
      <w:r w:rsidRPr="00542F65">
        <w:rPr>
          <w:rFonts w:ascii="Times New Roman" w:hAnsi="Times New Roman" w:cs="Times New Roman"/>
          <w:color w:val="0070C0"/>
          <w:spacing w:val="-5"/>
          <w:sz w:val="24"/>
          <w:szCs w:val="24"/>
          <w:u w:val="single"/>
        </w:rPr>
        <w:t>Kanama üzerine etkileri</w:t>
      </w: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 xml:space="preserve">İnsan trombosit hücreleri ile yapılan </w:t>
      </w:r>
      <w:r w:rsidR="00B6386B" w:rsidRPr="00542F65">
        <w:rPr>
          <w:rFonts w:ascii="Times New Roman" w:hAnsi="Times New Roman" w:cs="Times New Roman"/>
          <w:i/>
          <w:color w:val="0070C0"/>
          <w:spacing w:val="-5"/>
          <w:sz w:val="24"/>
          <w:szCs w:val="24"/>
        </w:rPr>
        <w:t>in vitro</w:t>
      </w:r>
      <w:r w:rsidRPr="00542F65">
        <w:rPr>
          <w:rFonts w:ascii="Times New Roman" w:hAnsi="Times New Roman" w:cs="Times New Roman"/>
          <w:color w:val="0070C0"/>
          <w:spacing w:val="-5"/>
          <w:sz w:val="24"/>
          <w:szCs w:val="24"/>
        </w:rPr>
        <w:t xml:space="preserve"> çalışmalar sildenafilin, sodyum nitroprusiatın antiagregan etkisini artırdığını göstermektedir. Kanama bozukluğu veya aktif peptik ülseri olan hastalarda </w:t>
      </w:r>
      <w:r w:rsidR="00D1655A" w:rsidRPr="00542F65">
        <w:rPr>
          <w:rFonts w:ascii="Times New Roman" w:hAnsi="Times New Roman" w:cs="Times New Roman"/>
          <w:color w:val="0070C0"/>
          <w:spacing w:val="-5"/>
          <w:sz w:val="24"/>
          <w:szCs w:val="24"/>
        </w:rPr>
        <w:t>DEGRA</w:t>
      </w:r>
      <w:r w:rsidRPr="00542F65">
        <w:rPr>
          <w:rFonts w:ascii="Times New Roman" w:hAnsi="Times New Roman" w:cs="Times New Roman"/>
          <w:color w:val="0070C0"/>
          <w:spacing w:val="-5"/>
          <w:sz w:val="24"/>
          <w:szCs w:val="24"/>
        </w:rPr>
        <w:t xml:space="preserve"> kullanımına ilişkin emniyet bilgisi mevcut değildir. Bu sebeple bu tür hastalarda </w:t>
      </w:r>
      <w:r w:rsidR="00D1655A" w:rsidRPr="00542F65">
        <w:rPr>
          <w:rFonts w:ascii="Times New Roman" w:hAnsi="Times New Roman" w:cs="Times New Roman"/>
          <w:color w:val="0070C0"/>
          <w:spacing w:val="-5"/>
          <w:sz w:val="24"/>
          <w:szCs w:val="24"/>
        </w:rPr>
        <w:t>DEGRA</w:t>
      </w:r>
      <w:r w:rsidRPr="00542F65">
        <w:rPr>
          <w:rFonts w:ascii="Times New Roman" w:hAnsi="Times New Roman" w:cs="Times New Roman"/>
          <w:color w:val="0070C0"/>
          <w:spacing w:val="-5"/>
          <w:sz w:val="24"/>
          <w:szCs w:val="24"/>
        </w:rPr>
        <w:t xml:space="preserve"> kullanılmadan önce yarar/zarar değerlendirmesi dikkatle yapılmalıdır.</w:t>
      </w: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Özellikle yaşlı, kan vizkositesi artmış hastalarda retinal ven oklüzyonu riski artmaktadır.</w:t>
      </w: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8A507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 xml:space="preserve">DEGRA kadınlarda kullanılmamalıdır. </w:t>
      </w: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DB17B7" w:rsidRPr="00542F65" w:rsidRDefault="002C5A4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r w:rsidRPr="00542F65">
        <w:rPr>
          <w:rFonts w:ascii="Times New Roman" w:hAnsi="Times New Roman" w:cs="Times New Roman"/>
          <w:color w:val="0070C0"/>
          <w:spacing w:val="-5"/>
          <w:sz w:val="24"/>
          <w:szCs w:val="24"/>
        </w:rPr>
        <w:t>DEGRA</w:t>
      </w:r>
      <w:r w:rsidR="00DB17B7" w:rsidRPr="00542F65">
        <w:rPr>
          <w:rFonts w:ascii="Times New Roman" w:hAnsi="Times New Roman" w:cs="Times New Roman"/>
          <w:color w:val="0070C0"/>
          <w:spacing w:val="-5"/>
          <w:sz w:val="24"/>
          <w:szCs w:val="24"/>
        </w:rPr>
        <w:t xml:space="preserve"> tabletin film kaplaması laktoz içerir. </w:t>
      </w:r>
      <w:r w:rsidRPr="00542F65">
        <w:rPr>
          <w:rFonts w:ascii="Times New Roman" w:hAnsi="Times New Roman" w:cs="Times New Roman"/>
          <w:color w:val="0070C0"/>
          <w:spacing w:val="-5"/>
          <w:sz w:val="24"/>
          <w:szCs w:val="24"/>
        </w:rPr>
        <w:t>DEGRA</w:t>
      </w:r>
      <w:r w:rsidR="00DB17B7" w:rsidRPr="00542F65">
        <w:rPr>
          <w:rFonts w:ascii="Times New Roman" w:hAnsi="Times New Roman" w:cs="Times New Roman"/>
          <w:color w:val="0070C0"/>
          <w:spacing w:val="-5"/>
          <w:sz w:val="24"/>
          <w:szCs w:val="24"/>
        </w:rPr>
        <w:t xml:space="preserve"> nadir kalıtımsal galaktoz intoleransı, Lapp laktaz yetmezliği ya da glukoz-galaktoz malabsorpsiyonu olan erkek hastalarda kullanılmamalıdır.</w:t>
      </w:r>
    </w:p>
    <w:p w:rsidR="00DB17B7" w:rsidRPr="00542F65" w:rsidRDefault="00DB17B7" w:rsidP="00A935F8">
      <w:pPr>
        <w:shd w:val="clear" w:color="auto" w:fill="FFFFFF"/>
        <w:spacing w:line="360" w:lineRule="auto"/>
        <w:ind w:right="53"/>
        <w:contextualSpacing/>
        <w:jc w:val="both"/>
        <w:rPr>
          <w:rFonts w:ascii="Times New Roman" w:hAnsi="Times New Roman" w:cs="Times New Roman"/>
          <w:color w:val="0070C0"/>
          <w:spacing w:val="-5"/>
          <w:sz w:val="24"/>
          <w:szCs w:val="24"/>
        </w:rPr>
      </w:pPr>
    </w:p>
    <w:p w:rsidR="002F045D" w:rsidRPr="00542F65" w:rsidRDefault="002F045D"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pacing w:val="-5"/>
          <w:sz w:val="24"/>
          <w:szCs w:val="24"/>
        </w:rPr>
        <w:t>Bu tıbbi ürün her tablette 1 mmol (23 mg)’ dan daha az sodyum ihtiva eder; yani esasında “sodyum içermez”</w:t>
      </w:r>
    </w:p>
    <w:p w:rsidR="004C4DF2" w:rsidRPr="004C4DF2" w:rsidRDefault="004C4DF2" w:rsidP="00A935F8">
      <w:pPr>
        <w:shd w:val="clear" w:color="auto" w:fill="FFFFFF"/>
        <w:spacing w:line="360" w:lineRule="auto"/>
        <w:ind w:right="53"/>
        <w:contextualSpacing/>
        <w:jc w:val="both"/>
        <w:rPr>
          <w:rFonts w:ascii="Times New Roman" w:hAnsi="Times New Roman" w:cs="Times New Roman"/>
          <w:color w:val="000000"/>
          <w:sz w:val="24"/>
          <w:szCs w:val="24"/>
        </w:rPr>
      </w:pPr>
    </w:p>
    <w:p w:rsidR="00E16420" w:rsidRPr="004C4DF2" w:rsidRDefault="00E16420" w:rsidP="00A935F8">
      <w:pPr>
        <w:shd w:val="clear" w:color="auto" w:fill="FFFFFF"/>
        <w:tabs>
          <w:tab w:val="left" w:pos="680"/>
          <w:tab w:val="left" w:pos="709"/>
        </w:tabs>
        <w:spacing w:line="360" w:lineRule="auto"/>
        <w:ind w:right="51"/>
        <w:contextualSpacing/>
        <w:jc w:val="both"/>
        <w:rPr>
          <w:rFonts w:ascii="Times New Roman" w:hAnsi="Times New Roman" w:cs="Times New Roman"/>
          <w:b/>
          <w:bCs/>
          <w:color w:val="000000"/>
          <w:spacing w:val="-1"/>
          <w:sz w:val="24"/>
          <w:szCs w:val="24"/>
        </w:rPr>
      </w:pPr>
      <w:r w:rsidRPr="004C4DF2">
        <w:rPr>
          <w:rFonts w:ascii="Times New Roman" w:hAnsi="Times New Roman" w:cs="Times New Roman"/>
          <w:b/>
          <w:bCs/>
          <w:color w:val="000000"/>
          <w:spacing w:val="-1"/>
          <w:sz w:val="24"/>
          <w:szCs w:val="24"/>
        </w:rPr>
        <w:t>4.5.</w:t>
      </w:r>
      <w:r w:rsidR="00F54952" w:rsidRPr="004C4DF2">
        <w:rPr>
          <w:rFonts w:ascii="Times New Roman" w:hAnsi="Times New Roman" w:cs="Times New Roman"/>
          <w:b/>
          <w:bCs/>
          <w:color w:val="000000"/>
          <w:spacing w:val="-1"/>
          <w:sz w:val="24"/>
          <w:szCs w:val="24"/>
        </w:rPr>
        <w:t xml:space="preserve"> </w:t>
      </w:r>
      <w:r w:rsidRPr="004C4DF2">
        <w:rPr>
          <w:rFonts w:ascii="Times New Roman" w:hAnsi="Times New Roman" w:cs="Times New Roman"/>
          <w:b/>
          <w:bCs/>
          <w:color w:val="000000"/>
          <w:spacing w:val="-1"/>
          <w:sz w:val="24"/>
          <w:szCs w:val="24"/>
        </w:rPr>
        <w:t>Diğer tıbbi ürünlerle etkileşimler ve diğer etkileşim şekilleri</w:t>
      </w: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z w:val="24"/>
          <w:szCs w:val="24"/>
          <w:u w:val="single"/>
        </w:rPr>
      </w:pPr>
      <w:r w:rsidRPr="00542F65">
        <w:rPr>
          <w:rFonts w:ascii="Times New Roman" w:hAnsi="Times New Roman" w:cs="Times New Roman"/>
          <w:color w:val="0070C0"/>
          <w:sz w:val="24"/>
          <w:szCs w:val="24"/>
          <w:u w:val="single"/>
        </w:rPr>
        <w:t xml:space="preserve">Diğer ilaçların </w:t>
      </w:r>
      <w:r w:rsidR="00D1655A" w:rsidRPr="00542F65">
        <w:rPr>
          <w:rFonts w:ascii="Times New Roman" w:hAnsi="Times New Roman" w:cs="Times New Roman"/>
          <w:color w:val="0070C0"/>
          <w:sz w:val="24"/>
          <w:szCs w:val="24"/>
          <w:u w:val="single"/>
        </w:rPr>
        <w:t>DEGRA</w:t>
      </w:r>
      <w:r w:rsidRPr="00542F65">
        <w:rPr>
          <w:rFonts w:ascii="Times New Roman" w:hAnsi="Times New Roman" w:cs="Times New Roman"/>
          <w:color w:val="0070C0"/>
          <w:sz w:val="24"/>
          <w:szCs w:val="24"/>
          <w:u w:val="single"/>
        </w:rPr>
        <w:t xml:space="preserve"> üzerine etkisi</w:t>
      </w:r>
    </w:p>
    <w:p w:rsidR="008A5077" w:rsidRPr="00542F65" w:rsidRDefault="008A5077" w:rsidP="00A935F8">
      <w:pPr>
        <w:shd w:val="clear" w:color="auto" w:fill="FFFFFF"/>
        <w:spacing w:line="360" w:lineRule="auto"/>
        <w:ind w:right="53"/>
        <w:contextualSpacing/>
        <w:jc w:val="both"/>
        <w:rPr>
          <w:rFonts w:ascii="Times New Roman" w:hAnsi="Times New Roman" w:cs="Times New Roman"/>
          <w:i/>
          <w:color w:val="0070C0"/>
          <w:sz w:val="24"/>
          <w:szCs w:val="24"/>
        </w:rPr>
      </w:pPr>
      <w:r w:rsidRPr="00542F65">
        <w:rPr>
          <w:rFonts w:ascii="Times New Roman" w:hAnsi="Times New Roman" w:cs="Times New Roman"/>
          <w:i/>
          <w:color w:val="0070C0"/>
          <w:sz w:val="24"/>
          <w:szCs w:val="24"/>
        </w:rPr>
        <w:t>İn vitro çalışmalar:</w:t>
      </w: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 xml:space="preserve">Sildenafil metabolizması başlıca sitokrom P450 (CYP)'nin izoformları 3A4 (majör yol) ve 2C9 (minör yol) ile düzenlenmektedir. Bu sebeple bu izoenzimlerin inhibitörleri sildenafil klerensini </w:t>
      </w:r>
      <w:r w:rsidRPr="00542F65">
        <w:rPr>
          <w:rFonts w:ascii="Times New Roman" w:hAnsi="Times New Roman" w:cs="Times New Roman"/>
          <w:color w:val="0070C0"/>
          <w:sz w:val="24"/>
          <w:szCs w:val="24"/>
        </w:rPr>
        <w:lastRenderedPageBreak/>
        <w:t>azaltabilir</w:t>
      </w:r>
      <w:r w:rsidR="00BD7B2A" w:rsidRPr="00542F65">
        <w:rPr>
          <w:rFonts w:ascii="Times New Roman" w:hAnsi="Times New Roman" w:cs="Times New Roman"/>
          <w:color w:val="0070C0"/>
          <w:sz w:val="24"/>
          <w:szCs w:val="24"/>
        </w:rPr>
        <w:t xml:space="preserve"> ve bu izoenzimlerin indükleyicileri sildenafil klerensini artırabilir</w:t>
      </w:r>
      <w:r w:rsidRPr="00542F65">
        <w:rPr>
          <w:rFonts w:ascii="Times New Roman" w:hAnsi="Times New Roman" w:cs="Times New Roman"/>
          <w:color w:val="0070C0"/>
          <w:sz w:val="24"/>
          <w:szCs w:val="24"/>
        </w:rPr>
        <w:t>.</w:t>
      </w:r>
    </w:p>
    <w:p w:rsidR="006D1B83" w:rsidRPr="00542F65" w:rsidRDefault="006D1B83" w:rsidP="00A935F8">
      <w:pPr>
        <w:shd w:val="clear" w:color="auto" w:fill="FFFFFF"/>
        <w:spacing w:line="360" w:lineRule="auto"/>
        <w:ind w:right="53"/>
        <w:contextualSpacing/>
        <w:jc w:val="both"/>
        <w:rPr>
          <w:rFonts w:ascii="Times New Roman" w:hAnsi="Times New Roman" w:cs="Times New Roman"/>
          <w:i/>
          <w:color w:val="0070C0"/>
          <w:sz w:val="24"/>
          <w:szCs w:val="24"/>
        </w:rPr>
      </w:pPr>
    </w:p>
    <w:p w:rsidR="008A5077" w:rsidRPr="00542F65" w:rsidRDefault="008A5077" w:rsidP="00A935F8">
      <w:pPr>
        <w:shd w:val="clear" w:color="auto" w:fill="FFFFFF"/>
        <w:spacing w:line="360" w:lineRule="auto"/>
        <w:ind w:right="53"/>
        <w:contextualSpacing/>
        <w:jc w:val="both"/>
        <w:rPr>
          <w:rFonts w:ascii="Times New Roman" w:hAnsi="Times New Roman" w:cs="Times New Roman"/>
          <w:i/>
          <w:color w:val="0070C0"/>
          <w:sz w:val="24"/>
          <w:szCs w:val="24"/>
        </w:rPr>
      </w:pPr>
      <w:r w:rsidRPr="00542F65">
        <w:rPr>
          <w:rFonts w:ascii="Times New Roman" w:hAnsi="Times New Roman" w:cs="Times New Roman"/>
          <w:i/>
          <w:color w:val="0070C0"/>
          <w:sz w:val="24"/>
          <w:szCs w:val="24"/>
        </w:rPr>
        <w:t>İn vivo çalışmalar</w:t>
      </w:r>
      <w:r w:rsidR="005C0AFA" w:rsidRPr="00542F65">
        <w:rPr>
          <w:rFonts w:ascii="Times New Roman" w:hAnsi="Times New Roman" w:cs="Times New Roman"/>
          <w:i/>
          <w:color w:val="0070C0"/>
          <w:sz w:val="24"/>
          <w:szCs w:val="24"/>
        </w:rPr>
        <w:t>:</w:t>
      </w: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Klinik çalışma verilerinde yapılan popülasyon farmakokinetik analizleri, ketokonazol, eritromisin, simetidin gibi CYP3A4 inhibitörleri ile beraber uygulandığında sildenafilin klerensinde azalma olduğunu ortaya koymuştur. Bununla birlikte, bu hastalarda yan etki insidansında bir artış olmamasına rağmen, CYP3A4 inhibitörleri ile beraber sildenafil uygulanacaksa, 25 mg'lık doz verilmelidir.</w:t>
      </w:r>
    </w:p>
    <w:p w:rsidR="005C0AFA" w:rsidRPr="00542F65" w:rsidRDefault="005C0AFA" w:rsidP="00A935F8">
      <w:pPr>
        <w:shd w:val="clear" w:color="auto" w:fill="FFFFFF"/>
        <w:spacing w:line="360" w:lineRule="auto"/>
        <w:ind w:right="53"/>
        <w:contextualSpacing/>
        <w:jc w:val="both"/>
        <w:rPr>
          <w:rFonts w:ascii="Times New Roman" w:hAnsi="Times New Roman" w:cs="Times New Roman"/>
          <w:color w:val="0070C0"/>
          <w:sz w:val="24"/>
          <w:szCs w:val="24"/>
        </w:rPr>
      </w:pP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Kuvvetli bir P450 inhibitörü olan HIV proteaz inhibitörü ritonavirin, kararlı durum seviyelerinde (500 mg bid), birlikte uyg</w:t>
      </w:r>
      <w:r w:rsidR="001D00F9" w:rsidRPr="00542F65">
        <w:rPr>
          <w:rFonts w:ascii="Times New Roman" w:hAnsi="Times New Roman" w:cs="Times New Roman"/>
          <w:color w:val="0070C0"/>
          <w:sz w:val="24"/>
          <w:szCs w:val="24"/>
        </w:rPr>
        <w:t>ulanan tek doz sildenafilin (l00</w:t>
      </w:r>
      <w:r w:rsidRPr="00542F65">
        <w:rPr>
          <w:rFonts w:ascii="Times New Roman" w:hAnsi="Times New Roman" w:cs="Times New Roman"/>
          <w:color w:val="0070C0"/>
          <w:sz w:val="24"/>
          <w:szCs w:val="24"/>
        </w:rPr>
        <w:t>mg) C</w:t>
      </w:r>
      <w:r w:rsidRPr="00542F65">
        <w:rPr>
          <w:rFonts w:ascii="Times New Roman" w:hAnsi="Times New Roman" w:cs="Times New Roman"/>
          <w:color w:val="0070C0"/>
          <w:sz w:val="24"/>
          <w:szCs w:val="24"/>
          <w:vertAlign w:val="subscript"/>
        </w:rPr>
        <w:t>maks</w:t>
      </w:r>
      <w:r w:rsidRPr="00542F65">
        <w:rPr>
          <w:rFonts w:ascii="Times New Roman" w:hAnsi="Times New Roman" w:cs="Times New Roman"/>
          <w:color w:val="0070C0"/>
          <w:sz w:val="24"/>
          <w:szCs w:val="24"/>
        </w:rPr>
        <w:t>'ında 4 kat (%300) ve EAA'sında 11 kat (%1000) bir artış meydana gelmiştir. 24 saat sonra, sildenafilin tek başına uygulanmasıyla 5 ng/ml olan plazma seviyesine kıyasla, sildenafil plazma seviyeleri yaklaşık 200 ng/ml olmuştur. Bu durum ritonavirin P450 substratlarının büyük çoğunluğu üzerine olan belirgin etkileriyle uyumludur. Sildenafilin ritonavir farmakokinetiği üzerine etkisi yoktur</w:t>
      </w:r>
      <w:r w:rsidR="00BD7B2A" w:rsidRPr="00542F65">
        <w:rPr>
          <w:rFonts w:ascii="Times New Roman" w:hAnsi="Times New Roman" w:cs="Times New Roman"/>
          <w:color w:val="0070C0"/>
          <w:sz w:val="24"/>
          <w:szCs w:val="24"/>
        </w:rPr>
        <w:t>. Bu farmakokinetik veriler göz önünde bulundurularak, sildenafilin ritonavir ile birlikte kullanımı önerilmemektedir</w:t>
      </w:r>
      <w:r w:rsidR="005C0AFA" w:rsidRPr="00542F65">
        <w:rPr>
          <w:rFonts w:ascii="Times New Roman" w:hAnsi="Times New Roman" w:cs="Times New Roman"/>
          <w:color w:val="0070C0"/>
          <w:sz w:val="24"/>
          <w:szCs w:val="24"/>
        </w:rPr>
        <w:t xml:space="preserve"> (</w:t>
      </w:r>
      <w:r w:rsidRPr="00542F65">
        <w:rPr>
          <w:rFonts w:ascii="Times New Roman" w:hAnsi="Times New Roman" w:cs="Times New Roman"/>
          <w:color w:val="0070C0"/>
          <w:sz w:val="24"/>
          <w:szCs w:val="24"/>
        </w:rPr>
        <w:t>Bkz. Bölüm 4.2 Pozoloji ve uygulama şekli).</w:t>
      </w:r>
    </w:p>
    <w:p w:rsidR="005C0AFA" w:rsidRPr="00542F65" w:rsidRDefault="005C0AFA" w:rsidP="00A935F8">
      <w:pPr>
        <w:shd w:val="clear" w:color="auto" w:fill="FFFFFF"/>
        <w:spacing w:line="360" w:lineRule="auto"/>
        <w:ind w:right="53"/>
        <w:contextualSpacing/>
        <w:jc w:val="both"/>
        <w:rPr>
          <w:rFonts w:ascii="Times New Roman" w:hAnsi="Times New Roman" w:cs="Times New Roman"/>
          <w:color w:val="0070C0"/>
          <w:sz w:val="24"/>
          <w:szCs w:val="24"/>
        </w:rPr>
      </w:pPr>
    </w:p>
    <w:p w:rsidR="008A5077" w:rsidRPr="00542F65" w:rsidRDefault="008A5077"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Bir CYP3A4 inhibitörü olan, HIV proteaz inhibitörü sakinavirin, kararlı durumda (1200 mg tid), 100 mg tek doz sildenafil ile birlikte uygulanması, sildenafil C</w:t>
      </w:r>
      <w:r w:rsidRPr="00542F65">
        <w:rPr>
          <w:rFonts w:ascii="Times New Roman" w:hAnsi="Times New Roman" w:cs="Times New Roman"/>
          <w:color w:val="0070C0"/>
          <w:sz w:val="24"/>
          <w:szCs w:val="24"/>
          <w:vertAlign w:val="subscript"/>
        </w:rPr>
        <w:t>maks</w:t>
      </w:r>
      <w:r w:rsidRPr="00542F65">
        <w:rPr>
          <w:rFonts w:ascii="Times New Roman" w:hAnsi="Times New Roman" w:cs="Times New Roman"/>
          <w:color w:val="0070C0"/>
          <w:sz w:val="24"/>
          <w:szCs w:val="24"/>
        </w:rPr>
        <w:t>'ında %140 ve sildenafil EAA'sında %210'luk bir artışa yol açmıştır. Sildenafilin sakinavir farmakokinetiği üzerine etkisi yoktur (Bakınız Bölüm 4.2 Pozoloji ve uygulama şekli). Ketokonazol ve itrakonazol gibi daha güçlü CYP3A4 inhibitörlerinin etkilerinin daha büyük olması beklenir.</w:t>
      </w:r>
    </w:p>
    <w:p w:rsidR="005C0AFA" w:rsidRPr="00542F65" w:rsidRDefault="005C0AFA" w:rsidP="00A935F8">
      <w:pPr>
        <w:shd w:val="clear" w:color="auto" w:fill="FFFFFF"/>
        <w:spacing w:line="360" w:lineRule="auto"/>
        <w:ind w:right="53"/>
        <w:contextualSpacing/>
        <w:jc w:val="both"/>
        <w:rPr>
          <w:rFonts w:ascii="Times New Roman" w:hAnsi="Times New Roman" w:cs="Times New Roman"/>
          <w:color w:val="0070C0"/>
          <w:sz w:val="24"/>
          <w:szCs w:val="24"/>
        </w:rPr>
      </w:pPr>
    </w:p>
    <w:p w:rsidR="00BD7B2A" w:rsidRPr="00542F65" w:rsidRDefault="00BD7B2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Orta şiddette bir CYP3A4 inhibitörü olan, kararlı durum seviyesindeki (5 gün boyunca 500 mg bid) eritromisin ile birlikte, 100 mg tek doz sildenafil uygulandığında, sildenafilin sistemik yararlanımında (EAA) %182’lik bir artış olmuştur. Normal sağlıklı erkek gönüllülerde, üç gün boyunca günde 500 mg uygulanan azitromisinin, sildenafil veya dolaşımdaki başlıca metabolitinin C</w:t>
      </w:r>
      <w:r w:rsidRPr="00542F65">
        <w:rPr>
          <w:rFonts w:ascii="Times New Roman" w:hAnsi="Times New Roman" w:cs="Times New Roman"/>
          <w:color w:val="0070C0"/>
          <w:sz w:val="24"/>
          <w:szCs w:val="24"/>
          <w:vertAlign w:val="subscript"/>
        </w:rPr>
        <w:t>maks</w:t>
      </w:r>
      <w:r w:rsidRPr="00542F65">
        <w:rPr>
          <w:rFonts w:ascii="Times New Roman" w:hAnsi="Times New Roman" w:cs="Times New Roman"/>
          <w:color w:val="0070C0"/>
          <w:sz w:val="24"/>
          <w:szCs w:val="24"/>
        </w:rPr>
        <w:t>, T</w:t>
      </w:r>
      <w:r w:rsidRPr="00542F65">
        <w:rPr>
          <w:rFonts w:ascii="Times New Roman" w:hAnsi="Times New Roman" w:cs="Times New Roman"/>
          <w:color w:val="0070C0"/>
          <w:sz w:val="24"/>
          <w:szCs w:val="24"/>
          <w:vertAlign w:val="subscript"/>
        </w:rPr>
        <w:t>maks</w:t>
      </w:r>
      <w:r w:rsidRPr="00542F65">
        <w:rPr>
          <w:rFonts w:ascii="Times New Roman" w:hAnsi="Times New Roman" w:cs="Times New Roman"/>
          <w:color w:val="0070C0"/>
          <w:sz w:val="24"/>
          <w:szCs w:val="24"/>
        </w:rPr>
        <w:t>, eliminasyon hız sabiti veya izleyen yarı ömrü üzerine etkisine dair herhangi bir kanıt bulunmamıştır.</w:t>
      </w:r>
    </w:p>
    <w:p w:rsidR="00BD7B2A" w:rsidRPr="00542F65" w:rsidRDefault="00BD7B2A" w:rsidP="00A935F8">
      <w:pPr>
        <w:shd w:val="clear" w:color="auto" w:fill="FFFFFF"/>
        <w:spacing w:line="360" w:lineRule="auto"/>
        <w:ind w:right="53"/>
        <w:contextualSpacing/>
        <w:jc w:val="both"/>
        <w:rPr>
          <w:rFonts w:ascii="Times New Roman" w:hAnsi="Times New Roman" w:cs="Times New Roman"/>
          <w:color w:val="0070C0"/>
          <w:sz w:val="24"/>
          <w:szCs w:val="24"/>
        </w:rPr>
      </w:pPr>
    </w:p>
    <w:p w:rsidR="00BD7B2A" w:rsidRPr="00542F65" w:rsidRDefault="00BD7B2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Non-spesifik bir CYP3A4 inhibitörü ve sitokrom P450 inhibitörü olan simetidin (800mg), 50 mg sildenafil ile birlikte sağlıklı gönüllülere uygulandığında, plazma sildenafil konsantrasyonlarında % 56’lık bir artışa yol açmıştır.</w:t>
      </w:r>
    </w:p>
    <w:p w:rsidR="00BD7B2A" w:rsidRPr="00542F65" w:rsidRDefault="00BD7B2A" w:rsidP="00A935F8">
      <w:pPr>
        <w:shd w:val="clear" w:color="auto" w:fill="FFFFFF"/>
        <w:spacing w:line="360" w:lineRule="auto"/>
        <w:ind w:right="53"/>
        <w:contextualSpacing/>
        <w:jc w:val="both"/>
        <w:rPr>
          <w:rFonts w:ascii="Times New Roman" w:hAnsi="Times New Roman" w:cs="Times New Roman"/>
          <w:color w:val="0070C0"/>
          <w:sz w:val="24"/>
          <w:szCs w:val="24"/>
        </w:rPr>
      </w:pPr>
    </w:p>
    <w:p w:rsidR="00BD7B2A" w:rsidRPr="00542F65" w:rsidRDefault="00BD7B2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lastRenderedPageBreak/>
        <w:t>Barsak duvarı CYP3A4 metabolizmasının zayıf bir inhibitörü olan greyfurt suyu, sildenafil plazma seviyelerinde hafif artışlara yol açabilir.</w:t>
      </w:r>
    </w:p>
    <w:p w:rsidR="006D22A3" w:rsidRPr="00542F65" w:rsidRDefault="006D22A3" w:rsidP="00A935F8">
      <w:pPr>
        <w:shd w:val="clear" w:color="auto" w:fill="FFFFFF"/>
        <w:spacing w:line="360" w:lineRule="auto"/>
        <w:ind w:right="53"/>
        <w:contextualSpacing/>
        <w:jc w:val="both"/>
        <w:rPr>
          <w:rFonts w:ascii="Times New Roman" w:hAnsi="Times New Roman" w:cs="Times New Roman"/>
          <w:color w:val="0070C0"/>
          <w:sz w:val="24"/>
          <w:szCs w:val="24"/>
        </w:rPr>
      </w:pPr>
    </w:p>
    <w:p w:rsidR="005C0AFA" w:rsidRPr="00542F65" w:rsidRDefault="00BD7B2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Antasidlerin (magnezyum hidroksit/alüminyum hidroksit) tek doz olarak verilmesi sildenafilin biyoyararlanımını etkilememiştir.</w:t>
      </w:r>
    </w:p>
    <w:p w:rsidR="00BD7B2A" w:rsidRPr="00542F65" w:rsidRDefault="00BD7B2A" w:rsidP="00A935F8">
      <w:pPr>
        <w:shd w:val="clear" w:color="auto" w:fill="FFFFFF"/>
        <w:spacing w:line="360" w:lineRule="auto"/>
        <w:ind w:right="53"/>
        <w:contextualSpacing/>
        <w:jc w:val="both"/>
        <w:rPr>
          <w:rFonts w:ascii="Times New Roman" w:hAnsi="Times New Roman" w:cs="Times New Roman"/>
          <w:color w:val="0070C0"/>
          <w:sz w:val="24"/>
          <w:szCs w:val="24"/>
        </w:rPr>
      </w:pPr>
    </w:p>
    <w:p w:rsidR="00483D92" w:rsidRPr="00542F65" w:rsidRDefault="008A5077"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 xml:space="preserve">Spesifik etkileşme çalışmaları tüm ilaçlar ile yapılmamış olmasına rağmen, popülasyon farmakokinetik analizleri (tolbutamid, varfarin, fenitoin gibi) CYP2C9 inhibitörleri, (selektif serotonin gerialım inhibitörleri, trisiklik antidepresanlar gibi) CYP2D6 inhibitörleri, tiyazid ve ilgili diüretikler, kıvrım diüretikleri ve potasyum tutucu diüretikler, </w:t>
      </w:r>
      <w:r w:rsidR="00B6386B" w:rsidRPr="00542F65">
        <w:rPr>
          <w:rFonts w:ascii="Times New Roman" w:hAnsi="Times New Roman" w:cs="Times New Roman"/>
          <w:color w:val="0070C0"/>
          <w:sz w:val="24"/>
          <w:szCs w:val="24"/>
        </w:rPr>
        <w:t>a</w:t>
      </w:r>
      <w:r w:rsidRPr="00542F65">
        <w:rPr>
          <w:rFonts w:ascii="Times New Roman" w:hAnsi="Times New Roman" w:cs="Times New Roman"/>
          <w:color w:val="0070C0"/>
          <w:sz w:val="24"/>
          <w:szCs w:val="24"/>
        </w:rPr>
        <w:t>njiyotensin dönüştürücü enzim (ADE) inhibitörleri, kalsiyum kanal blokerleri, beta-adrenoreseptör antagonistleri veya (rifampisin, barbitüratlar gibi) CYP450 metabolizmasını arttıran ilaç grupları ile sildenafilin beraber uygulanmasının sildenafilin farmakokinetiği üzerine hiçbir etkisinin olmadığını göstermiştir.</w:t>
      </w:r>
      <w:r w:rsidR="006D22A3" w:rsidRPr="00542F65">
        <w:rPr>
          <w:rFonts w:ascii="Times New Roman" w:hAnsi="Times New Roman" w:cs="Times New Roman"/>
          <w:color w:val="0070C0"/>
          <w:sz w:val="24"/>
          <w:szCs w:val="24"/>
        </w:rPr>
        <w:t xml:space="preserve"> Sağlıklı erkek gönüllülerde yapılan bir çalışmada, kararlı durum konsantrasyonunda (günde 2 kez 125 mg) endotelin reseptör antagonisti olan bosentanın (CYP3A4 (orta derecede), CYP2C9 ve muhtemelen CYP2C19’un indükleyicisi), kararlı durum konsantrasyonunda (günde 3 kez 80 mg) sildenafil ile birlikte uygulanması; sildenafilin EAA ve Cmaks değerinde sırasıyla %62.6 ve %55.4’lük bir düşüşe neden olmuştur. Bu nedenle rifampin gibi güçlü CYP3A4 indükleyicilerinin sildenafil ile birlikte uygulanmasının sildenafil plazma konsantrasyonlarında daha büyük bir düşüşe neden olması beklenmektedir.</w:t>
      </w:r>
    </w:p>
    <w:p w:rsidR="005C0AFA" w:rsidRPr="00542F65" w:rsidRDefault="00BD7B2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Nitrat bileşeninden dolayı bir potasyum kanal aktivatörü ve nitrat hibriti olan nikorandilin sildenafil ile ciddi etkileşim potansiyeli bulunmaktadır.</w:t>
      </w:r>
    </w:p>
    <w:p w:rsidR="006D22A3" w:rsidRPr="00542F65" w:rsidRDefault="006D22A3" w:rsidP="00A935F8">
      <w:pPr>
        <w:shd w:val="clear" w:color="auto" w:fill="FFFFFF"/>
        <w:spacing w:line="360" w:lineRule="auto"/>
        <w:ind w:right="53"/>
        <w:contextualSpacing/>
        <w:jc w:val="both"/>
        <w:rPr>
          <w:rFonts w:ascii="Times New Roman" w:hAnsi="Times New Roman" w:cs="Times New Roman"/>
          <w:color w:val="0070C0"/>
          <w:sz w:val="24"/>
          <w:szCs w:val="24"/>
          <w:u w:val="single"/>
        </w:rPr>
      </w:pPr>
    </w:p>
    <w:p w:rsidR="005C0AFA" w:rsidRPr="00542F65" w:rsidRDefault="00D1655A" w:rsidP="00A935F8">
      <w:pPr>
        <w:shd w:val="clear" w:color="auto" w:fill="FFFFFF"/>
        <w:spacing w:line="360" w:lineRule="auto"/>
        <w:ind w:right="53"/>
        <w:contextualSpacing/>
        <w:jc w:val="both"/>
        <w:rPr>
          <w:rFonts w:ascii="Times New Roman" w:hAnsi="Times New Roman" w:cs="Times New Roman"/>
          <w:color w:val="0070C0"/>
          <w:sz w:val="24"/>
          <w:szCs w:val="24"/>
          <w:u w:val="single"/>
        </w:rPr>
      </w:pPr>
      <w:r w:rsidRPr="00542F65">
        <w:rPr>
          <w:rFonts w:ascii="Times New Roman" w:hAnsi="Times New Roman" w:cs="Times New Roman"/>
          <w:color w:val="0070C0"/>
          <w:sz w:val="24"/>
          <w:szCs w:val="24"/>
          <w:u w:val="single"/>
        </w:rPr>
        <w:t>DEGRA</w:t>
      </w:r>
      <w:r w:rsidR="005C0AFA" w:rsidRPr="00542F65">
        <w:rPr>
          <w:rFonts w:ascii="Times New Roman" w:hAnsi="Times New Roman" w:cs="Times New Roman"/>
          <w:color w:val="0070C0"/>
          <w:sz w:val="24"/>
          <w:szCs w:val="24"/>
          <w:u w:val="single"/>
        </w:rPr>
        <w:t>'nın diğer ilaçlar üzerine etkisi</w:t>
      </w:r>
    </w:p>
    <w:p w:rsidR="005C0AFA" w:rsidRPr="00542F65" w:rsidRDefault="005C0AFA" w:rsidP="00A935F8">
      <w:pPr>
        <w:shd w:val="clear" w:color="auto" w:fill="FFFFFF"/>
        <w:spacing w:line="360" w:lineRule="auto"/>
        <w:ind w:right="53"/>
        <w:contextualSpacing/>
        <w:jc w:val="both"/>
        <w:rPr>
          <w:rFonts w:ascii="Times New Roman" w:hAnsi="Times New Roman" w:cs="Times New Roman"/>
          <w:i/>
          <w:color w:val="0070C0"/>
          <w:sz w:val="24"/>
          <w:szCs w:val="24"/>
        </w:rPr>
      </w:pPr>
      <w:r w:rsidRPr="00542F65">
        <w:rPr>
          <w:rFonts w:ascii="Times New Roman" w:hAnsi="Times New Roman" w:cs="Times New Roman"/>
          <w:i/>
          <w:color w:val="0070C0"/>
          <w:sz w:val="24"/>
          <w:szCs w:val="24"/>
        </w:rPr>
        <w:t>İn vitro çalışmalar:</w:t>
      </w:r>
    </w:p>
    <w:p w:rsidR="005C0AFA" w:rsidRPr="00542F65" w:rsidRDefault="005C0AF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 xml:space="preserve">Sildenafil, sitokrom P450 izoformları olan 1A2, 2C9, 2C19, 2D6, </w:t>
      </w:r>
      <w:r w:rsidR="00E1024B" w:rsidRPr="00542F65">
        <w:rPr>
          <w:rFonts w:ascii="Times New Roman" w:hAnsi="Times New Roman" w:cs="Times New Roman"/>
          <w:color w:val="0070C0"/>
          <w:sz w:val="24"/>
          <w:szCs w:val="24"/>
        </w:rPr>
        <w:t>2E1</w:t>
      </w:r>
      <w:r w:rsidRPr="00542F65">
        <w:rPr>
          <w:rFonts w:ascii="Times New Roman" w:hAnsi="Times New Roman" w:cs="Times New Roman"/>
          <w:color w:val="0070C0"/>
          <w:sz w:val="24"/>
          <w:szCs w:val="24"/>
        </w:rPr>
        <w:t xml:space="preserve"> ve 3A4 (IC</w:t>
      </w:r>
      <w:r w:rsidRPr="00542F65">
        <w:rPr>
          <w:rFonts w:ascii="Times New Roman" w:hAnsi="Times New Roman" w:cs="Times New Roman"/>
          <w:color w:val="0070C0"/>
          <w:sz w:val="24"/>
          <w:szCs w:val="24"/>
          <w:vertAlign w:val="subscript"/>
        </w:rPr>
        <w:t>50</w:t>
      </w:r>
      <w:r w:rsidRPr="00542F65">
        <w:rPr>
          <w:rFonts w:ascii="Times New Roman" w:hAnsi="Times New Roman" w:cs="Times New Roman"/>
          <w:color w:val="0070C0"/>
          <w:sz w:val="24"/>
          <w:szCs w:val="24"/>
        </w:rPr>
        <w:t xml:space="preserve"> &gt;150 mikromolar)'ün zayıf bir inhibitörüdür. Tavsiye edilen dozların ardından sildenafilin zirve plazma konsantrasyonu yaklaşık 1 mikromolar olduğunda, </w:t>
      </w:r>
      <w:r w:rsidR="00D1655A" w:rsidRPr="00542F65">
        <w:rPr>
          <w:rFonts w:ascii="Times New Roman" w:hAnsi="Times New Roman" w:cs="Times New Roman"/>
          <w:color w:val="0070C0"/>
          <w:sz w:val="24"/>
          <w:szCs w:val="24"/>
        </w:rPr>
        <w:t>DEGRA</w:t>
      </w:r>
      <w:r w:rsidRPr="00542F65">
        <w:rPr>
          <w:rFonts w:ascii="Times New Roman" w:hAnsi="Times New Roman" w:cs="Times New Roman"/>
          <w:color w:val="0070C0"/>
          <w:sz w:val="24"/>
          <w:szCs w:val="24"/>
        </w:rPr>
        <w:t>'nın bu izoenzimlere ait substratların klerensini değiştirmesi beklenmez.</w:t>
      </w:r>
    </w:p>
    <w:p w:rsidR="005C0AFA" w:rsidRPr="00542F65" w:rsidRDefault="005C0AFA" w:rsidP="00A935F8">
      <w:pPr>
        <w:shd w:val="clear" w:color="auto" w:fill="FFFFFF"/>
        <w:spacing w:line="360" w:lineRule="auto"/>
        <w:ind w:right="53"/>
        <w:contextualSpacing/>
        <w:jc w:val="both"/>
        <w:rPr>
          <w:rFonts w:ascii="Times New Roman" w:hAnsi="Times New Roman" w:cs="Times New Roman"/>
          <w:color w:val="0070C0"/>
          <w:sz w:val="24"/>
          <w:szCs w:val="24"/>
        </w:rPr>
      </w:pPr>
    </w:p>
    <w:p w:rsidR="005C0AFA" w:rsidRPr="00542F65" w:rsidRDefault="005C0AF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Teofilin veya dipridamol gibi non-spesifik fosfodiesteraz inhibitörleri ve sildenafil arasında etkileşme olduğuna dair veri mevcut değildir.</w:t>
      </w:r>
    </w:p>
    <w:p w:rsidR="006D1B83" w:rsidRPr="00542F65" w:rsidRDefault="006D1B83" w:rsidP="00A935F8">
      <w:pPr>
        <w:shd w:val="clear" w:color="auto" w:fill="FFFFFF"/>
        <w:spacing w:line="360" w:lineRule="auto"/>
        <w:ind w:right="53"/>
        <w:contextualSpacing/>
        <w:jc w:val="both"/>
        <w:rPr>
          <w:rFonts w:ascii="Times New Roman" w:hAnsi="Times New Roman" w:cs="Times New Roman"/>
          <w:i/>
          <w:color w:val="0070C0"/>
          <w:sz w:val="24"/>
          <w:szCs w:val="24"/>
        </w:rPr>
      </w:pPr>
    </w:p>
    <w:p w:rsidR="005C0AFA" w:rsidRPr="00542F65" w:rsidRDefault="005C0AFA" w:rsidP="00A935F8">
      <w:pPr>
        <w:shd w:val="clear" w:color="auto" w:fill="FFFFFF"/>
        <w:spacing w:line="360" w:lineRule="auto"/>
        <w:ind w:right="53"/>
        <w:contextualSpacing/>
        <w:jc w:val="both"/>
        <w:rPr>
          <w:rFonts w:ascii="Times New Roman" w:hAnsi="Times New Roman" w:cs="Times New Roman"/>
          <w:i/>
          <w:color w:val="0070C0"/>
          <w:sz w:val="24"/>
          <w:szCs w:val="24"/>
        </w:rPr>
      </w:pPr>
      <w:r w:rsidRPr="00542F65">
        <w:rPr>
          <w:rFonts w:ascii="Times New Roman" w:hAnsi="Times New Roman" w:cs="Times New Roman"/>
          <w:i/>
          <w:color w:val="0070C0"/>
          <w:sz w:val="24"/>
          <w:szCs w:val="24"/>
        </w:rPr>
        <w:t>İn vivo çalışmalar:</w:t>
      </w:r>
    </w:p>
    <w:p w:rsidR="002C5A47" w:rsidRPr="00542F65" w:rsidRDefault="002C5A47"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 xml:space="preserve">Nitrik oksid/sGMP yolu üzerine bilinen etkisi ile uyumlu olarak (Bakınız Bölüm 5.1. </w:t>
      </w:r>
      <w:r w:rsidRPr="00542F65">
        <w:rPr>
          <w:rFonts w:ascii="Times New Roman" w:hAnsi="Times New Roman" w:cs="Times New Roman"/>
          <w:color w:val="0070C0"/>
          <w:sz w:val="24"/>
          <w:szCs w:val="24"/>
        </w:rPr>
        <w:lastRenderedPageBreak/>
        <w:t>Farmakodinamik Özellikler), sildenafilin nitratların hipotansif etkisini potansiyalize ettiği gösterilmiştir. Bu sebeple sildenafilin, nitratların her hangi bir formu veya nitrik oksid açığa çıkaran bileşikler ile beraber kullanılması kontrendikedir. (Bkz. Bölüm 4.3 Kontrendikasyonlar)</w:t>
      </w:r>
    </w:p>
    <w:p w:rsidR="002C5A47" w:rsidRPr="00542F65" w:rsidRDefault="002C5A47" w:rsidP="00A935F8">
      <w:pPr>
        <w:shd w:val="clear" w:color="auto" w:fill="FFFFFF"/>
        <w:spacing w:line="360" w:lineRule="auto"/>
        <w:ind w:right="53"/>
        <w:contextualSpacing/>
        <w:jc w:val="both"/>
        <w:rPr>
          <w:rFonts w:ascii="Times New Roman" w:hAnsi="Times New Roman" w:cs="Times New Roman"/>
          <w:color w:val="0070C0"/>
          <w:sz w:val="24"/>
          <w:szCs w:val="24"/>
        </w:rPr>
      </w:pPr>
    </w:p>
    <w:p w:rsidR="002C5A47" w:rsidRPr="00542F65" w:rsidRDefault="002C5A47"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Alfa-bloker tedavisi uygulanmakta olan hastalara aynı zamanda sildenafil uygulanması, duyarlı bazı bireylerde semptomatik hipotansiyona yol açabilmektedir. Bu bulgu sıklıkla sildenafil dozunun alınmasından 4 saat sonra oluşmaktadır (Bkz. 4.2. Pozoloji ve uygulama şekli ve 4.4. Özel kullanım uyarıları ve önlemleri). Üç spesifik ilaç-ilaç etkileşimi çalışmasında, doksazosin tedavisi ile stabilize edilmiş benign prostat hiperplazisi (BPH) olan hastalara eşzamanlı olarak alfa-bloker doksazosin (4 mg ve 8 mg) ile sildenafil (25 mg, 50 mg ya da 100 mg) uygulanmıştır. Bu çalışma popülasyonlarında, yatarak ölçülen kan basıncında sırasıyla ortalama 7/7 mmHg, 9/5 mmHg ve 8/4 mmHg ek azalma ve ayakta ölçülen kan basıncında ortalama 6/6 mmHg, 11/4 mmHg ve 4/5 mmHg ek azalma gözlemlenmiştir. Doksazosin tedavisi ile stabilize edilen hastalara eşzamanlı olarak sildenafil ve doksazosin uygulandığında, nadir de olsa, semptomatik postüral hipotansiyon yaşayan hastalara ilişkin bazı bildirimler olmuştur. Bu bildirimler arasında baş dönmesi ve sersemlik yer almakta ancak senkop bulunmamaktadır.</w:t>
      </w:r>
    </w:p>
    <w:p w:rsidR="002C5A47" w:rsidRPr="00542F65" w:rsidRDefault="002C5A47" w:rsidP="00A935F8">
      <w:pPr>
        <w:shd w:val="clear" w:color="auto" w:fill="FFFFFF"/>
        <w:spacing w:line="360" w:lineRule="auto"/>
        <w:ind w:right="53"/>
        <w:contextualSpacing/>
        <w:jc w:val="both"/>
        <w:rPr>
          <w:rFonts w:ascii="Times New Roman" w:hAnsi="Times New Roman" w:cs="Times New Roman"/>
          <w:color w:val="0070C0"/>
          <w:sz w:val="24"/>
          <w:szCs w:val="24"/>
        </w:rPr>
      </w:pPr>
    </w:p>
    <w:p w:rsidR="002C5A47" w:rsidRPr="00542F65" w:rsidRDefault="002C5A47"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Her ikisi de CYP2C9 tarafından metabolize edilen tolbutamid (250 mg) veya varfarin (40 mg) ile beraber 50 mg sildenafil uygulandığında önemli bir etkileşim gösterilmemiştir.</w:t>
      </w:r>
    </w:p>
    <w:p w:rsidR="002C5A47" w:rsidRPr="00542F65" w:rsidRDefault="002C5A47" w:rsidP="00A935F8">
      <w:pPr>
        <w:shd w:val="clear" w:color="auto" w:fill="FFFFFF"/>
        <w:spacing w:line="360" w:lineRule="auto"/>
        <w:ind w:right="53"/>
        <w:contextualSpacing/>
        <w:jc w:val="both"/>
        <w:rPr>
          <w:rFonts w:ascii="Times New Roman" w:hAnsi="Times New Roman" w:cs="Times New Roman"/>
          <w:color w:val="0070C0"/>
          <w:sz w:val="24"/>
          <w:szCs w:val="24"/>
        </w:rPr>
      </w:pPr>
    </w:p>
    <w:p w:rsidR="002C5A47" w:rsidRPr="00542F65" w:rsidRDefault="002C5A47"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Sildenafil (50 mg), 150 mg aspirinin sebep olduğu kanama süresindeki uzamayı potansiyalize etmemiştir.</w:t>
      </w:r>
    </w:p>
    <w:p w:rsidR="002C5A47" w:rsidRPr="00542F65" w:rsidRDefault="002C5A47" w:rsidP="00A935F8">
      <w:pPr>
        <w:shd w:val="clear" w:color="auto" w:fill="FFFFFF"/>
        <w:spacing w:line="360" w:lineRule="auto"/>
        <w:ind w:right="53"/>
        <w:contextualSpacing/>
        <w:jc w:val="both"/>
        <w:rPr>
          <w:rFonts w:ascii="Times New Roman" w:hAnsi="Times New Roman" w:cs="Times New Roman"/>
          <w:color w:val="0070C0"/>
          <w:sz w:val="24"/>
          <w:szCs w:val="24"/>
        </w:rPr>
      </w:pPr>
    </w:p>
    <w:p w:rsidR="005C0AFA" w:rsidRPr="00542F65" w:rsidRDefault="002C5A47"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Sildenafil (50 mg), sağlıklı gönüllülerde 80 mg/dl'lik ortalama maksimum alkol seviyelerinde alkolün hipotansif etkisini potansiyalize etmemiştir.</w:t>
      </w:r>
    </w:p>
    <w:p w:rsidR="002C5A47" w:rsidRPr="00542F65" w:rsidRDefault="002C5A47" w:rsidP="00A935F8">
      <w:pPr>
        <w:shd w:val="clear" w:color="auto" w:fill="FFFFFF"/>
        <w:spacing w:line="360" w:lineRule="auto"/>
        <w:ind w:right="53"/>
        <w:contextualSpacing/>
        <w:jc w:val="both"/>
        <w:rPr>
          <w:rFonts w:ascii="Times New Roman" w:hAnsi="Times New Roman" w:cs="Times New Roman"/>
          <w:color w:val="0070C0"/>
          <w:sz w:val="24"/>
          <w:szCs w:val="24"/>
        </w:rPr>
      </w:pPr>
    </w:p>
    <w:p w:rsidR="00F03C27" w:rsidRPr="00542F65" w:rsidRDefault="005C0AF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Aşağıda belirtilen antihipertansif tedavi sınıfları; Diüretikler, beta-blokerler, ACE inhibitörleri, anjiyotensin II antagonistleri, anti</w:t>
      </w:r>
      <w:r w:rsidR="001D00F9" w:rsidRPr="00542F65">
        <w:rPr>
          <w:rFonts w:ascii="Times New Roman" w:hAnsi="Times New Roman" w:cs="Times New Roman"/>
          <w:color w:val="0070C0"/>
          <w:sz w:val="24"/>
          <w:szCs w:val="24"/>
        </w:rPr>
        <w:t>hipertansif medikal ürünler (vaz</w:t>
      </w:r>
      <w:r w:rsidRPr="00542F65">
        <w:rPr>
          <w:rFonts w:ascii="Times New Roman" w:hAnsi="Times New Roman" w:cs="Times New Roman"/>
          <w:color w:val="0070C0"/>
          <w:sz w:val="24"/>
          <w:szCs w:val="24"/>
        </w:rPr>
        <w:t xml:space="preserve">odilatör ve santral etkili), adrenerjik nöron blokerleri, kalsiyum kanal blokerleri ve alfa-adrenoreseptör blokerler, plasebo uygulanmasına kıyasla sildenafil alan hastalardaki yan etki profilinde hiçbir değişiklik göstermemişlerdir. Hipertansif hastalarda, sildenafil (100 mg) ile beraber amlodipin uygulanan spesifik bir etkileşme çalışmasında, yatar konumdaki sistolik kan basıncında 8 mmHg'lik ilave bir düşüş olmuştur. Bununla ilgili olarak yatar konumdaki diastolik kan </w:t>
      </w:r>
      <w:r w:rsidR="00E1024B" w:rsidRPr="00542F65">
        <w:rPr>
          <w:rFonts w:ascii="Times New Roman" w:hAnsi="Times New Roman" w:cs="Times New Roman"/>
          <w:color w:val="0070C0"/>
          <w:sz w:val="24"/>
          <w:szCs w:val="24"/>
        </w:rPr>
        <w:t>basıncındaki</w:t>
      </w:r>
      <w:r w:rsidRPr="00542F65">
        <w:rPr>
          <w:rFonts w:ascii="Times New Roman" w:hAnsi="Times New Roman" w:cs="Times New Roman"/>
          <w:color w:val="0070C0"/>
          <w:sz w:val="24"/>
          <w:szCs w:val="24"/>
        </w:rPr>
        <w:t xml:space="preserve"> ilave düşme 7 mmHg'dir. Kan </w:t>
      </w:r>
      <w:r w:rsidR="00E1024B" w:rsidRPr="00542F65">
        <w:rPr>
          <w:rFonts w:ascii="Times New Roman" w:hAnsi="Times New Roman" w:cs="Times New Roman"/>
          <w:color w:val="0070C0"/>
          <w:sz w:val="24"/>
          <w:szCs w:val="24"/>
        </w:rPr>
        <w:t>basıncındaki</w:t>
      </w:r>
      <w:r w:rsidRPr="00542F65">
        <w:rPr>
          <w:rFonts w:ascii="Times New Roman" w:hAnsi="Times New Roman" w:cs="Times New Roman"/>
          <w:color w:val="0070C0"/>
          <w:sz w:val="24"/>
          <w:szCs w:val="24"/>
        </w:rPr>
        <w:t xml:space="preserve"> bu ilave düşüşler, sildenafilin sağlıklı gönüllülere tek başına uygulandığı zaman görülene benzer olmuştur (Bkz. Bölüm 5.1. Farmakodinamik özellikler).</w:t>
      </w:r>
    </w:p>
    <w:p w:rsidR="008921F8" w:rsidRPr="00542F65" w:rsidRDefault="008921F8"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lastRenderedPageBreak/>
        <w:t>Sildenafil (100mg), her ikisi de CYP3A4 substratı olan, HIV proteaz inhibitörleri ritonavir ve sakinavirin kararlı durum farmakokinetiğini etkilemez.</w:t>
      </w:r>
    </w:p>
    <w:p w:rsidR="008921F8" w:rsidRPr="00542F65" w:rsidRDefault="008921F8" w:rsidP="00A935F8">
      <w:pPr>
        <w:shd w:val="clear" w:color="auto" w:fill="FFFFFF"/>
        <w:spacing w:line="360" w:lineRule="auto"/>
        <w:ind w:right="53"/>
        <w:contextualSpacing/>
        <w:jc w:val="both"/>
        <w:rPr>
          <w:rFonts w:ascii="Times New Roman" w:hAnsi="Times New Roman" w:cs="Times New Roman"/>
          <w:color w:val="0070C0"/>
          <w:sz w:val="24"/>
          <w:szCs w:val="24"/>
        </w:rPr>
      </w:pPr>
    </w:p>
    <w:p w:rsidR="00F03C27" w:rsidRPr="00542F65" w:rsidRDefault="008921F8"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Sağlıklı gönüllülerde kararlı durum konsantrasyonlarında sildenafil (80 mg t.i.d.) bosentanın (125 mg b.i.d.) EAA’da %49.8’lik ve C</w:t>
      </w:r>
      <w:r w:rsidRPr="00542F65">
        <w:rPr>
          <w:rFonts w:ascii="Times New Roman" w:hAnsi="Times New Roman" w:cs="Times New Roman"/>
          <w:color w:val="0070C0"/>
          <w:sz w:val="24"/>
          <w:szCs w:val="24"/>
          <w:vertAlign w:val="subscript"/>
        </w:rPr>
        <w:t>maks</w:t>
      </w:r>
      <w:r w:rsidRPr="00542F65">
        <w:rPr>
          <w:rFonts w:ascii="Times New Roman" w:hAnsi="Times New Roman" w:cs="Times New Roman"/>
          <w:color w:val="0070C0"/>
          <w:sz w:val="24"/>
          <w:szCs w:val="24"/>
        </w:rPr>
        <w:t xml:space="preserve"> değerinde %42’lik bir artışa yol açmıştır.</w:t>
      </w:r>
    </w:p>
    <w:p w:rsidR="008921F8" w:rsidRPr="004C4DF2" w:rsidRDefault="008921F8" w:rsidP="00A935F8">
      <w:pPr>
        <w:shd w:val="clear" w:color="auto" w:fill="FFFFFF"/>
        <w:spacing w:line="360" w:lineRule="auto"/>
        <w:ind w:right="53"/>
        <w:contextualSpacing/>
        <w:jc w:val="both"/>
        <w:rPr>
          <w:rFonts w:ascii="Times New Roman" w:hAnsi="Times New Roman" w:cs="Times New Roman"/>
          <w:sz w:val="24"/>
          <w:szCs w:val="24"/>
        </w:rPr>
      </w:pPr>
    </w:p>
    <w:p w:rsidR="00E16420" w:rsidRPr="004C4DF2" w:rsidRDefault="00E16420" w:rsidP="00A935F8">
      <w:pPr>
        <w:shd w:val="clear" w:color="auto" w:fill="FFFFFF"/>
        <w:spacing w:line="360" w:lineRule="auto"/>
        <w:ind w:right="53"/>
        <w:contextualSpacing/>
        <w:jc w:val="both"/>
        <w:rPr>
          <w:rFonts w:ascii="Times New Roman" w:hAnsi="Times New Roman" w:cs="Times New Roman"/>
          <w:b/>
          <w:color w:val="000000"/>
          <w:spacing w:val="-4"/>
          <w:sz w:val="24"/>
          <w:szCs w:val="24"/>
        </w:rPr>
      </w:pPr>
      <w:r w:rsidRPr="004C4DF2">
        <w:rPr>
          <w:rFonts w:ascii="Times New Roman" w:hAnsi="Times New Roman" w:cs="Times New Roman"/>
          <w:b/>
          <w:color w:val="000000"/>
          <w:spacing w:val="-4"/>
          <w:sz w:val="24"/>
          <w:szCs w:val="24"/>
        </w:rPr>
        <w:t>4.6.</w:t>
      </w:r>
      <w:r w:rsidR="00483D92" w:rsidRPr="004C4DF2">
        <w:rPr>
          <w:rFonts w:ascii="Times New Roman" w:hAnsi="Times New Roman" w:cs="Times New Roman"/>
          <w:b/>
          <w:color w:val="000000"/>
          <w:spacing w:val="-4"/>
          <w:sz w:val="24"/>
          <w:szCs w:val="24"/>
        </w:rPr>
        <w:t xml:space="preserve"> </w:t>
      </w:r>
      <w:r w:rsidRPr="004C4DF2">
        <w:rPr>
          <w:rFonts w:ascii="Times New Roman" w:hAnsi="Times New Roman" w:cs="Times New Roman"/>
          <w:b/>
          <w:color w:val="000000"/>
          <w:spacing w:val="-4"/>
          <w:sz w:val="24"/>
          <w:szCs w:val="24"/>
        </w:rPr>
        <w:t>Gebelik ve laktasyon</w:t>
      </w:r>
    </w:p>
    <w:p w:rsidR="00B64C4C" w:rsidRPr="00542F65" w:rsidRDefault="00B64C4C" w:rsidP="00A935F8">
      <w:pPr>
        <w:shd w:val="clear" w:color="auto" w:fill="FFFFFF"/>
        <w:spacing w:line="360" w:lineRule="auto"/>
        <w:ind w:right="53"/>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Genel tavsiye:</w:t>
      </w:r>
    </w:p>
    <w:p w:rsidR="00F03C27" w:rsidRPr="00542F65" w:rsidRDefault="00F03C27"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Gebelik kategorisi: B</w:t>
      </w:r>
    </w:p>
    <w:p w:rsidR="00F03C27" w:rsidRPr="00542F65" w:rsidRDefault="00D1655A"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DEGRA</w:t>
      </w:r>
      <w:r w:rsidR="00F03C27" w:rsidRPr="00542F65">
        <w:rPr>
          <w:rFonts w:ascii="Times New Roman" w:hAnsi="Times New Roman" w:cs="Times New Roman"/>
          <w:color w:val="0070C0"/>
          <w:sz w:val="24"/>
          <w:szCs w:val="24"/>
        </w:rPr>
        <w:t xml:space="preserve">, kadınlarda kullanım için endike değildir. </w:t>
      </w:r>
    </w:p>
    <w:p w:rsidR="00E16420" w:rsidRPr="00542F65" w:rsidRDefault="00E16420" w:rsidP="00A935F8">
      <w:pPr>
        <w:shd w:val="clear" w:color="auto" w:fill="FFFFFF"/>
        <w:spacing w:line="360" w:lineRule="auto"/>
        <w:ind w:right="53"/>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Gebelik dönemi:</w:t>
      </w:r>
    </w:p>
    <w:p w:rsidR="00F03C27" w:rsidRPr="00542F65" w:rsidRDefault="00F03C27" w:rsidP="00A935F8">
      <w:pPr>
        <w:shd w:val="clear" w:color="auto" w:fill="FFFFFF"/>
        <w:spacing w:line="360" w:lineRule="auto"/>
        <w:ind w:right="53"/>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Sıçan ve tavşanlarda yapılan üreme çalışmalarında oral sildenafil uygulamasını takiben, ilişkili hiçbir yan etki görülmemiştir (Bkz. Bölüm 5.3 Klinik öncesi güvenlilik verileri).</w:t>
      </w:r>
    </w:p>
    <w:p w:rsidR="00F03C27" w:rsidRPr="00542F65" w:rsidRDefault="00F03C27" w:rsidP="00A935F8">
      <w:pPr>
        <w:shd w:val="clear" w:color="auto" w:fill="FFFFFF"/>
        <w:spacing w:line="360" w:lineRule="auto"/>
        <w:ind w:right="53"/>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Gebelik dönemindeki kadınlarda kullanımı ile ilgili yeterli veri bulunmamaktadır.</w:t>
      </w:r>
    </w:p>
    <w:p w:rsidR="00E16420" w:rsidRPr="00542F65" w:rsidRDefault="00E16420" w:rsidP="00A935F8">
      <w:pPr>
        <w:shd w:val="clear" w:color="auto" w:fill="FFFFFF"/>
        <w:spacing w:line="360" w:lineRule="auto"/>
        <w:ind w:right="53"/>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pacing w:val="-2"/>
          <w:sz w:val="24"/>
          <w:szCs w:val="24"/>
        </w:rPr>
        <w:t>Üreme yeteneği / Fertilite:</w:t>
      </w:r>
    </w:p>
    <w:p w:rsidR="00F03C27" w:rsidRPr="00542F65" w:rsidRDefault="00F03C27" w:rsidP="00A935F8">
      <w:pPr>
        <w:shd w:val="clear" w:color="auto" w:fill="FFFFFF"/>
        <w:spacing w:line="360" w:lineRule="auto"/>
        <w:ind w:right="53"/>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Dişi sıçanlara 36, erkek sıçanlara 102 güne kadar, günde 60 mg/kg sildenafil uygulanması ile (İnsanlarda, erkek cinsiyette gözlenen EAA değerinin 25 katını oluşturan bir dozda) fertilitede azalma görülmemiştir.</w:t>
      </w:r>
    </w:p>
    <w:p w:rsidR="00483D92" w:rsidRPr="00542F65" w:rsidRDefault="00F03C27" w:rsidP="00A935F8">
      <w:pPr>
        <w:shd w:val="clear" w:color="auto" w:fill="FFFFFF"/>
        <w:spacing w:line="360" w:lineRule="auto"/>
        <w:ind w:right="53"/>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Sağlıklı gönüllülerde, oral yolla 100 mg sildenafil uygulamasının ardından sperm motilitesine veya morfolojisine hiçbir etki olmamıştır.</w:t>
      </w:r>
    </w:p>
    <w:p w:rsidR="00F03C27" w:rsidRPr="004C4DF2" w:rsidRDefault="00F03C27" w:rsidP="00A935F8">
      <w:pPr>
        <w:shd w:val="clear" w:color="auto" w:fill="FFFFFF"/>
        <w:spacing w:line="360" w:lineRule="auto"/>
        <w:ind w:right="53"/>
        <w:contextualSpacing/>
        <w:jc w:val="both"/>
        <w:rPr>
          <w:rFonts w:ascii="Times New Roman" w:hAnsi="Times New Roman" w:cs="Times New Roman"/>
          <w:sz w:val="24"/>
          <w:szCs w:val="24"/>
        </w:rPr>
      </w:pPr>
    </w:p>
    <w:p w:rsidR="00E16420" w:rsidRPr="004C4DF2" w:rsidRDefault="00E16420" w:rsidP="00A935F8">
      <w:pPr>
        <w:shd w:val="clear" w:color="auto" w:fill="FFFFFF"/>
        <w:spacing w:line="360" w:lineRule="auto"/>
        <w:ind w:right="53"/>
        <w:contextualSpacing/>
        <w:jc w:val="both"/>
        <w:rPr>
          <w:rFonts w:ascii="Times New Roman" w:hAnsi="Times New Roman" w:cs="Times New Roman"/>
          <w:b/>
          <w:sz w:val="24"/>
          <w:szCs w:val="24"/>
        </w:rPr>
      </w:pPr>
      <w:r w:rsidRPr="004C4DF2">
        <w:rPr>
          <w:rFonts w:ascii="Times New Roman" w:hAnsi="Times New Roman" w:cs="Times New Roman"/>
          <w:b/>
          <w:color w:val="000000"/>
          <w:sz w:val="24"/>
          <w:szCs w:val="24"/>
        </w:rPr>
        <w:t>4.7.</w:t>
      </w:r>
      <w:r w:rsidR="00483D92" w:rsidRPr="004C4DF2">
        <w:rPr>
          <w:rFonts w:ascii="Times New Roman" w:hAnsi="Times New Roman" w:cs="Times New Roman"/>
          <w:b/>
          <w:color w:val="000000"/>
          <w:sz w:val="24"/>
          <w:szCs w:val="24"/>
        </w:rPr>
        <w:t xml:space="preserve"> </w:t>
      </w:r>
      <w:r w:rsidRPr="004C4DF2">
        <w:rPr>
          <w:rFonts w:ascii="Times New Roman" w:hAnsi="Times New Roman" w:cs="Times New Roman"/>
          <w:b/>
          <w:color w:val="000000"/>
          <w:sz w:val="24"/>
          <w:szCs w:val="24"/>
        </w:rPr>
        <w:t>Araç ve makine kullanımı üzerindeki etkiler</w:t>
      </w:r>
    </w:p>
    <w:p w:rsidR="00B64C4C" w:rsidRPr="00542F65" w:rsidRDefault="00B64C4C" w:rsidP="00A935F8">
      <w:pPr>
        <w:shd w:val="clear" w:color="auto" w:fill="FFFFFF"/>
        <w:spacing w:line="360" w:lineRule="auto"/>
        <w:ind w:right="53"/>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Araç ve makine kullanma yeteneği üzerine etkileri için çalışma yapılmamıştır.</w:t>
      </w:r>
    </w:p>
    <w:p w:rsidR="00F03C27" w:rsidRPr="00542F65" w:rsidRDefault="00F03C27" w:rsidP="00A935F8">
      <w:pPr>
        <w:shd w:val="clear" w:color="auto" w:fill="FFFFFF"/>
        <w:spacing w:line="360" w:lineRule="auto"/>
        <w:ind w:right="53"/>
        <w:contextualSpacing/>
        <w:jc w:val="both"/>
        <w:rPr>
          <w:rFonts w:ascii="Times New Roman" w:hAnsi="Times New Roman" w:cs="Times New Roman"/>
          <w:color w:val="0070C0"/>
          <w:spacing w:val="-4"/>
          <w:sz w:val="24"/>
          <w:szCs w:val="24"/>
        </w:rPr>
      </w:pPr>
      <w:r w:rsidRPr="00542F65">
        <w:rPr>
          <w:rFonts w:ascii="Times New Roman" w:hAnsi="Times New Roman" w:cs="Times New Roman"/>
          <w:color w:val="0070C0"/>
          <w:spacing w:val="-4"/>
          <w:sz w:val="24"/>
          <w:szCs w:val="24"/>
        </w:rPr>
        <w:t>Sildenafil ile yapılan klinik çalışmalarda baş dönmesi ve görme bozukluğu bildirildiği için araç ve makine kullanırken hastalar dikkatli olmalıdır.</w:t>
      </w:r>
    </w:p>
    <w:p w:rsidR="00E96400" w:rsidRDefault="00E96400" w:rsidP="00A935F8">
      <w:pPr>
        <w:shd w:val="clear" w:color="auto" w:fill="FFFFFF"/>
        <w:spacing w:line="360" w:lineRule="auto"/>
        <w:ind w:right="53"/>
        <w:contextualSpacing/>
        <w:jc w:val="both"/>
        <w:rPr>
          <w:rFonts w:ascii="Times New Roman" w:hAnsi="Times New Roman" w:cs="Times New Roman"/>
          <w:b/>
          <w:color w:val="000000"/>
          <w:spacing w:val="-1"/>
          <w:sz w:val="24"/>
          <w:szCs w:val="24"/>
        </w:rPr>
      </w:pPr>
    </w:p>
    <w:p w:rsidR="00E16420" w:rsidRPr="00542F65" w:rsidRDefault="00E16420" w:rsidP="00A935F8">
      <w:pPr>
        <w:shd w:val="clear" w:color="auto" w:fill="FFFFFF"/>
        <w:spacing w:line="360" w:lineRule="auto"/>
        <w:ind w:right="53"/>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pacing w:val="-1"/>
          <w:sz w:val="24"/>
          <w:szCs w:val="24"/>
        </w:rPr>
        <w:t>4.8.</w:t>
      </w:r>
      <w:r w:rsidR="00483D92" w:rsidRPr="00542F65">
        <w:rPr>
          <w:rFonts w:ascii="Times New Roman" w:hAnsi="Times New Roman" w:cs="Times New Roman"/>
          <w:b/>
          <w:color w:val="0070C0"/>
          <w:spacing w:val="-1"/>
          <w:sz w:val="24"/>
          <w:szCs w:val="24"/>
        </w:rPr>
        <w:t xml:space="preserve"> </w:t>
      </w:r>
      <w:r w:rsidRPr="00542F65">
        <w:rPr>
          <w:rFonts w:ascii="Times New Roman" w:hAnsi="Times New Roman" w:cs="Times New Roman"/>
          <w:b/>
          <w:color w:val="0070C0"/>
          <w:spacing w:val="-1"/>
          <w:sz w:val="24"/>
          <w:szCs w:val="24"/>
        </w:rPr>
        <w:t>İstenmeyen etkiler</w:t>
      </w:r>
    </w:p>
    <w:p w:rsidR="005D43D0" w:rsidRPr="00542F65" w:rsidRDefault="00D1655A"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DEGRA</w:t>
      </w:r>
      <w:r w:rsidR="00B2324E" w:rsidRPr="00542F65">
        <w:rPr>
          <w:rFonts w:ascii="Times New Roman" w:hAnsi="Times New Roman" w:cs="Times New Roman"/>
          <w:color w:val="0070C0"/>
          <w:sz w:val="24"/>
          <w:szCs w:val="24"/>
        </w:rPr>
        <w:t xml:space="preserve">'nın güvenlilik profili, </w:t>
      </w:r>
      <w:r w:rsidR="005D43D0" w:rsidRPr="00542F65">
        <w:rPr>
          <w:rFonts w:ascii="Times New Roman" w:hAnsi="Times New Roman" w:cs="Times New Roman"/>
          <w:color w:val="0070C0"/>
          <w:sz w:val="24"/>
          <w:szCs w:val="24"/>
        </w:rPr>
        <w:t>profili, 74 çift kör plasebo kontrollü klinik çalışmada 9570 hasta verisi esas alarak oluşturulmuştur. Sildenafil ile tedavi edilen hastalarda en sık bildirilen advers reaksiyonlar baş ağrısı, yüz kızarması, dispepsi, nazal konjesyon, sersemlik, kusma, sıcak basması, görme bozukluğu cisimlerin mavi görülmesi ve bulanık görmedir.</w:t>
      </w:r>
    </w:p>
    <w:p w:rsidR="005D43D0" w:rsidRPr="00542F65" w:rsidRDefault="005D43D0"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p>
    <w:p w:rsidR="00B2324E" w:rsidRPr="00542F65" w:rsidRDefault="005D43D0"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Pazarlama sonrası çalışmalarda gözlenen advers reaksiyonlar 10 yıldan uzun bir sürede elde edilmiştir. Tüm advers reaksiyonların Ruhsat Sahibi’ne bildirilmemesi ve güvenlilik veritabanına eklenmemesinden dolayı, bu reaksiyonların sıklıkları güvenilir bir şekilde belirlenememektedir.</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Klinik çalışmalarda görülen ve pazarlama sonrası raporlanan plasebodan daha yüksek insidansa sahip, tıbbi açıdan önemli tüm advers reaksiyonlar sistem organ sınıflandırılması ve sıklığı ile aşağıda verilmektedir: Çok yaygın (≥1/10); yaygın (≥1/100 ila ≤1/10); yaygın olmayan (≥l/1000 ila ≤1/100); seyrek (≥1/10000 ila ≤1/1000); çok seyrek (≤1/10000), bilinmiyor (eldeki verilerden hareketle tahmin edilemiyor).</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Pazarlama sonrası deneyimde bildirilen, tıbbi açıdan önemli advers reaksiyonların sıklığı bilinmiyor olarak verilmiştir.</w:t>
      </w:r>
    </w:p>
    <w:p w:rsidR="005D43D0" w:rsidRPr="00542F65" w:rsidRDefault="005D43D0" w:rsidP="00A935F8">
      <w:pPr>
        <w:shd w:val="clear" w:color="auto" w:fill="FFFFFF"/>
        <w:tabs>
          <w:tab w:val="left" w:pos="3658"/>
        </w:tabs>
        <w:spacing w:line="360" w:lineRule="auto"/>
        <w:ind w:right="53"/>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Enfeksiyonlar ve enfestasyonlar</w:t>
      </w:r>
    </w:p>
    <w:p w:rsidR="00B2324E" w:rsidRPr="00542F65" w:rsidRDefault="005D43D0"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Rinit</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 xml:space="preserve">Bağışıklık sistemi </w:t>
      </w:r>
      <w:r w:rsidR="0078615D" w:rsidRPr="00542F65">
        <w:rPr>
          <w:rFonts w:ascii="Times New Roman" w:hAnsi="Times New Roman" w:cs="Times New Roman"/>
          <w:b/>
          <w:color w:val="0070C0"/>
          <w:sz w:val="24"/>
          <w:szCs w:val="24"/>
        </w:rPr>
        <w:t>hastalıkları</w:t>
      </w:r>
    </w:p>
    <w:p w:rsidR="00B2324E" w:rsidRPr="00542F65" w:rsidRDefault="005D43D0"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w:t>
      </w:r>
      <w:r w:rsidR="00B2324E" w:rsidRPr="00542F65">
        <w:rPr>
          <w:rFonts w:ascii="Times New Roman" w:hAnsi="Times New Roman" w:cs="Times New Roman"/>
          <w:color w:val="0070C0"/>
          <w:sz w:val="24"/>
          <w:szCs w:val="24"/>
        </w:rPr>
        <w:t>: Hipersensitivite reaksiyonları</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 xml:space="preserve">Sinir sistemi </w:t>
      </w:r>
      <w:r w:rsidR="0078615D" w:rsidRPr="00542F65">
        <w:rPr>
          <w:rFonts w:ascii="Times New Roman" w:hAnsi="Times New Roman" w:cs="Times New Roman"/>
          <w:b/>
          <w:color w:val="0070C0"/>
          <w:sz w:val="24"/>
          <w:szCs w:val="24"/>
        </w:rPr>
        <w:t>hastalıkları</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Çok yaygın: Baş ağrısı</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Sersemlik</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Somnolans, hipoestezi</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 xml:space="preserve">Seyrek: Serebrovasküler olay, </w:t>
      </w:r>
      <w:r w:rsidR="005D43D0" w:rsidRPr="00542F65">
        <w:rPr>
          <w:rFonts w:ascii="Times New Roman" w:hAnsi="Times New Roman" w:cs="Times New Roman"/>
          <w:color w:val="0070C0"/>
          <w:sz w:val="24"/>
          <w:szCs w:val="24"/>
        </w:rPr>
        <w:t xml:space="preserve">geçici iskemik atak, nöbet*, tekrarlayan nöbet*, </w:t>
      </w:r>
      <w:r w:rsidRPr="00542F65">
        <w:rPr>
          <w:rFonts w:ascii="Times New Roman" w:hAnsi="Times New Roman" w:cs="Times New Roman"/>
          <w:color w:val="0070C0"/>
          <w:sz w:val="24"/>
          <w:szCs w:val="24"/>
        </w:rPr>
        <w:t>senkop</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 xml:space="preserve">Göz </w:t>
      </w:r>
      <w:r w:rsidR="0078615D" w:rsidRPr="00542F65">
        <w:rPr>
          <w:rFonts w:ascii="Times New Roman" w:hAnsi="Times New Roman" w:cs="Times New Roman"/>
          <w:b/>
          <w:color w:val="0070C0"/>
          <w:sz w:val="24"/>
          <w:szCs w:val="24"/>
        </w:rPr>
        <w:t>hastalıkları</w:t>
      </w:r>
    </w:p>
    <w:p w:rsidR="0078615D" w:rsidRPr="00542F65" w:rsidRDefault="0078615D"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Görmede renklerin bozulması**, görme bozukluğu, bulanık görme</w:t>
      </w:r>
    </w:p>
    <w:p w:rsidR="0078615D" w:rsidRPr="00542F65" w:rsidRDefault="0078615D"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Lakrimasyon hastalıkları***, gözde ağrı, fotofobi, fotopsi, oküler hiperemi, görsel parlaklık, konjunktivit</w:t>
      </w:r>
    </w:p>
    <w:p w:rsidR="00B2324E" w:rsidRPr="00542F65" w:rsidRDefault="0078615D" w:rsidP="00A935F8">
      <w:pPr>
        <w:shd w:val="clear" w:color="auto" w:fill="FFFFFF"/>
        <w:tabs>
          <w:tab w:val="left" w:pos="3658"/>
        </w:tabs>
        <w:spacing w:line="360" w:lineRule="auto"/>
        <w:ind w:right="53"/>
        <w:contextualSpacing/>
        <w:jc w:val="both"/>
        <w:rPr>
          <w:rFonts w:ascii="Times New Roman" w:hAnsi="Times New Roman" w:cs="Times New Roman"/>
          <w:b/>
          <w:color w:val="0070C0"/>
          <w:sz w:val="24"/>
          <w:szCs w:val="24"/>
        </w:rPr>
      </w:pPr>
      <w:r w:rsidRPr="00542F65">
        <w:rPr>
          <w:rFonts w:ascii="Times New Roman" w:hAnsi="Times New Roman" w:cs="Times New Roman"/>
          <w:color w:val="0070C0"/>
          <w:sz w:val="24"/>
          <w:szCs w:val="24"/>
        </w:rPr>
        <w:t>Seyrek: Non-arteritik anterior iskemik optik nöropati (NAION)*, retinal vasküler oklüzyon*, retinal hemoraji, arteriosklerotik retinopati, retinada bozukluk, glokom, görüş alanında bozukluk, diplopi, görüş keskinliğinde azalma, miyopi, astenopi, göz önünde uçuşan cisimler görme, iris bozuklukları, midriyazis, ışıkların etrafında hale görme, göz ödemi, gözde şişme, göz bozuklukları, konjunktival hiperemi, göz iritasyonu, gözde anormal his, göz kapağı ödemi, skleral renk değişimi</w:t>
      </w:r>
      <w:r w:rsidRPr="00542F65">
        <w:rPr>
          <w:rFonts w:ascii="Times New Roman" w:hAnsi="Times New Roman" w:cs="Times New Roman"/>
          <w:b/>
          <w:color w:val="0070C0"/>
          <w:sz w:val="24"/>
          <w:szCs w:val="24"/>
        </w:rPr>
        <w:t xml:space="preserve"> </w:t>
      </w:r>
      <w:r w:rsidR="00B2324E" w:rsidRPr="00542F65">
        <w:rPr>
          <w:rFonts w:ascii="Times New Roman" w:hAnsi="Times New Roman" w:cs="Times New Roman"/>
          <w:b/>
          <w:color w:val="0070C0"/>
          <w:sz w:val="24"/>
          <w:szCs w:val="24"/>
        </w:rPr>
        <w:t xml:space="preserve">Kulak ve iç kulak </w:t>
      </w:r>
      <w:r w:rsidRPr="00542F65">
        <w:rPr>
          <w:rFonts w:ascii="Times New Roman" w:hAnsi="Times New Roman" w:cs="Times New Roman"/>
          <w:b/>
          <w:color w:val="0070C0"/>
          <w:sz w:val="24"/>
          <w:szCs w:val="24"/>
        </w:rPr>
        <w:t>hastalıkları</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Vertigo, kulak çınlaması</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 xml:space="preserve">Seyrek: </w:t>
      </w:r>
      <w:r w:rsidR="0078615D" w:rsidRPr="00542F65">
        <w:rPr>
          <w:rFonts w:ascii="Times New Roman" w:hAnsi="Times New Roman" w:cs="Times New Roman"/>
          <w:color w:val="0070C0"/>
          <w:sz w:val="24"/>
          <w:szCs w:val="24"/>
        </w:rPr>
        <w:t>İşitme kaybı</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 xml:space="preserve">Kardiyak </w:t>
      </w:r>
      <w:r w:rsidR="0078615D" w:rsidRPr="00542F65">
        <w:rPr>
          <w:rFonts w:ascii="Times New Roman" w:hAnsi="Times New Roman" w:cs="Times New Roman"/>
          <w:b/>
          <w:color w:val="0070C0"/>
          <w:sz w:val="24"/>
          <w:szCs w:val="24"/>
        </w:rPr>
        <w:t>hastalıkları</w:t>
      </w:r>
    </w:p>
    <w:p w:rsidR="00A935F8"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 xml:space="preserve">Yaygın olmayan: </w:t>
      </w:r>
      <w:r w:rsidR="00A935F8" w:rsidRPr="00542F65">
        <w:rPr>
          <w:rFonts w:ascii="Times New Roman" w:hAnsi="Times New Roman" w:cs="Times New Roman"/>
          <w:color w:val="0070C0"/>
          <w:sz w:val="24"/>
          <w:szCs w:val="24"/>
        </w:rPr>
        <w:t xml:space="preserve">Taşikardi, çarpıntı </w:t>
      </w:r>
    </w:p>
    <w:p w:rsidR="00B2324E" w:rsidRPr="00542F65" w:rsidRDefault="00B2324E"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 xml:space="preserve">Seyrek: </w:t>
      </w:r>
      <w:r w:rsidR="00A935F8" w:rsidRPr="00542F65">
        <w:rPr>
          <w:rFonts w:ascii="Times New Roman" w:hAnsi="Times New Roman" w:cs="Times New Roman"/>
          <w:color w:val="0070C0"/>
          <w:sz w:val="24"/>
          <w:szCs w:val="24"/>
        </w:rPr>
        <w:t>Ani kardiyak ölüm*, miyokard infarktüsü, ventriküler aritmi*, atriyal fibrilasyon, stabil olmayan anjina</w:t>
      </w:r>
    </w:p>
    <w:p w:rsidR="00A935F8" w:rsidRPr="00542F65" w:rsidRDefault="00A935F8" w:rsidP="00A935F8">
      <w:pPr>
        <w:shd w:val="clear" w:color="auto" w:fill="FFFFFF"/>
        <w:tabs>
          <w:tab w:val="left" w:pos="3658"/>
        </w:tabs>
        <w:spacing w:line="360" w:lineRule="auto"/>
        <w:ind w:right="53"/>
        <w:contextualSpacing/>
        <w:jc w:val="both"/>
        <w:rPr>
          <w:rFonts w:ascii="Times New Roman" w:hAnsi="Times New Roman" w:cs="Times New Roman"/>
          <w:color w:val="0070C0"/>
          <w:sz w:val="24"/>
          <w:szCs w:val="24"/>
        </w:rPr>
      </w:pP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lastRenderedPageBreak/>
        <w:t>Vasküler hastalıklar</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Yüzde kızarma, sıcak basması</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Hipertansiyon, hipotansiyon</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Solunum, göğüs bozuklukları ve mediastinal hastalıklar</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Nazal konjesyon</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Epistaksis, sinüslerde konjesyon</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Seyrek: Boğazda rahatsızlık hissi, nazal ödem, burun kuruluğu</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Gastrointestinal hastalıklar</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Bulantı, dispepsi</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Gastro özofajiyal reflü, kusma, üst abdominal bölgede ağrı, ağız kuruluğu</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Seyrek: Oral hipoestezi</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Deri ve deri altı dokusu hastalıkları</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Döküntü</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Seyrek: Steven Johnson Sendromu*, toksik epidermal nekroliz*</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Kas-iskelet, bağ dokusu ve kemik hastalıkları</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Miyalji, ekstremite ağrısı</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Böbrek ve idrar yolu hastalıkları</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Hematüri</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Üreme sistemi hastalıkları</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Seyrek : Penil hemoraji, priapizm*, hematospermi, ereksiyonda artma</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Genel bozukluklar ve uygulama bölgesine ilişkin hastalıklar</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Göğüs ağrısı, yorgunluk, sıcaklık hissi</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Seyrek: Sinirlilik</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Araştırmalar</w:t>
      </w:r>
    </w:p>
    <w:p w:rsidR="002C04A9"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Yaygın olmayan: Kalp atım hızında artış</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*Yalnızca pazarlama sonrası sürveyansda bildirilmiştir.</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**Görsel renk değişiklikleri: Cisimleri yeşil görme, kromatopsi, cisimleri mavi görme, eritropsi ve cisimleri sarı görme.</w:t>
      </w:r>
    </w:p>
    <w:p w:rsidR="00A935F8" w:rsidRPr="00542F65" w:rsidRDefault="00A935F8" w:rsidP="00A935F8">
      <w:pPr>
        <w:shd w:val="clear" w:color="auto" w:fill="FFFFFF"/>
        <w:tabs>
          <w:tab w:val="left" w:pos="3658"/>
        </w:tabs>
        <w:spacing w:line="360" w:lineRule="auto"/>
        <w:ind w:right="51"/>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 Lakrimasyon hastalıkları: Göz kuruluğu, lakrimal bozukluk ve göz yaşı salgısının artması</w:t>
      </w:r>
    </w:p>
    <w:p w:rsidR="00A935F8" w:rsidRPr="00A935F8" w:rsidRDefault="00A935F8" w:rsidP="00A935F8">
      <w:pPr>
        <w:shd w:val="clear" w:color="auto" w:fill="FFFFFF"/>
        <w:tabs>
          <w:tab w:val="left" w:pos="3658"/>
        </w:tabs>
        <w:spacing w:line="360" w:lineRule="auto"/>
        <w:ind w:right="51"/>
        <w:contextualSpacing/>
        <w:jc w:val="both"/>
        <w:rPr>
          <w:rFonts w:ascii="Times New Roman" w:hAnsi="Times New Roman" w:cs="Times New Roman"/>
          <w:sz w:val="24"/>
          <w:szCs w:val="24"/>
        </w:rPr>
      </w:pPr>
    </w:p>
    <w:p w:rsidR="002C04A9" w:rsidRPr="00A935F8" w:rsidRDefault="002C04A9" w:rsidP="00A935F8">
      <w:pPr>
        <w:spacing w:line="360" w:lineRule="auto"/>
        <w:jc w:val="both"/>
        <w:rPr>
          <w:rFonts w:ascii="Times New Roman" w:hAnsi="Times New Roman"/>
          <w:spacing w:val="-2"/>
          <w:sz w:val="24"/>
          <w:szCs w:val="24"/>
          <w:u w:val="single"/>
        </w:rPr>
      </w:pPr>
      <w:r w:rsidRPr="00A935F8">
        <w:rPr>
          <w:rFonts w:ascii="Times New Roman" w:hAnsi="Times New Roman" w:hint="eastAsia"/>
          <w:spacing w:val="-2"/>
          <w:sz w:val="24"/>
          <w:szCs w:val="24"/>
          <w:u w:val="single"/>
        </w:rPr>
        <w:t>Şü</w:t>
      </w:r>
      <w:r w:rsidRPr="00A935F8">
        <w:rPr>
          <w:rFonts w:ascii="Times New Roman" w:hAnsi="Times New Roman"/>
          <w:spacing w:val="-2"/>
          <w:sz w:val="24"/>
          <w:szCs w:val="24"/>
          <w:u w:val="single"/>
        </w:rPr>
        <w:t>pheli advers reaksiyonlar</w:t>
      </w:r>
      <w:r w:rsidRPr="00A935F8">
        <w:rPr>
          <w:rFonts w:ascii="Times New Roman" w:hAnsi="Times New Roman" w:hint="eastAsia"/>
          <w:spacing w:val="-2"/>
          <w:sz w:val="24"/>
          <w:szCs w:val="24"/>
          <w:u w:val="single"/>
        </w:rPr>
        <w:t>ı</w:t>
      </w:r>
      <w:r w:rsidRPr="00A935F8">
        <w:rPr>
          <w:rFonts w:ascii="Times New Roman" w:hAnsi="Times New Roman"/>
          <w:spacing w:val="-2"/>
          <w:sz w:val="24"/>
          <w:szCs w:val="24"/>
          <w:u w:val="single"/>
        </w:rPr>
        <w:t>n raporlanmas</w:t>
      </w:r>
      <w:r w:rsidRPr="00A935F8">
        <w:rPr>
          <w:rFonts w:ascii="Times New Roman" w:hAnsi="Times New Roman" w:hint="eastAsia"/>
          <w:spacing w:val="-2"/>
          <w:sz w:val="24"/>
          <w:szCs w:val="24"/>
          <w:u w:val="single"/>
        </w:rPr>
        <w:t>ı</w:t>
      </w:r>
    </w:p>
    <w:p w:rsidR="002C04A9" w:rsidRPr="00A935F8" w:rsidRDefault="002C04A9" w:rsidP="00A935F8">
      <w:pPr>
        <w:spacing w:line="360" w:lineRule="auto"/>
        <w:jc w:val="both"/>
        <w:rPr>
          <w:rFonts w:ascii="Times New Roman" w:hAnsi="Times New Roman"/>
          <w:spacing w:val="-2"/>
          <w:sz w:val="24"/>
          <w:szCs w:val="24"/>
        </w:rPr>
      </w:pPr>
      <w:r w:rsidRPr="00A935F8">
        <w:rPr>
          <w:rFonts w:ascii="Times New Roman" w:hAnsi="Times New Roman"/>
          <w:spacing w:val="-2"/>
          <w:sz w:val="24"/>
          <w:szCs w:val="24"/>
        </w:rPr>
        <w:t>Ruhsatland</w:t>
      </w:r>
      <w:r w:rsidRPr="00A935F8">
        <w:rPr>
          <w:rFonts w:ascii="Times New Roman" w:hAnsi="Times New Roman" w:hint="eastAsia"/>
          <w:spacing w:val="-2"/>
          <w:sz w:val="24"/>
          <w:szCs w:val="24"/>
        </w:rPr>
        <w:t>ı</w:t>
      </w:r>
      <w:r w:rsidRPr="00A935F8">
        <w:rPr>
          <w:rFonts w:ascii="Times New Roman" w:hAnsi="Times New Roman"/>
          <w:spacing w:val="-2"/>
          <w:sz w:val="24"/>
          <w:szCs w:val="24"/>
        </w:rPr>
        <w:t>rma sonras</w:t>
      </w:r>
      <w:r w:rsidRPr="00A935F8">
        <w:rPr>
          <w:rFonts w:ascii="Times New Roman" w:hAnsi="Times New Roman" w:hint="eastAsia"/>
          <w:spacing w:val="-2"/>
          <w:sz w:val="24"/>
          <w:szCs w:val="24"/>
        </w:rPr>
        <w:t>ı</w:t>
      </w:r>
      <w:r w:rsidRPr="00A935F8">
        <w:rPr>
          <w:rFonts w:ascii="Times New Roman" w:hAnsi="Times New Roman"/>
          <w:spacing w:val="-2"/>
          <w:sz w:val="24"/>
          <w:szCs w:val="24"/>
        </w:rPr>
        <w:t xml:space="preserve"> </w:t>
      </w:r>
      <w:r w:rsidRPr="00A935F8">
        <w:rPr>
          <w:rFonts w:ascii="Times New Roman" w:hAnsi="Times New Roman" w:hint="eastAsia"/>
          <w:spacing w:val="-2"/>
          <w:sz w:val="24"/>
          <w:szCs w:val="24"/>
        </w:rPr>
        <w:t>şü</w:t>
      </w:r>
      <w:r w:rsidRPr="00A935F8">
        <w:rPr>
          <w:rFonts w:ascii="Times New Roman" w:hAnsi="Times New Roman"/>
          <w:spacing w:val="-2"/>
          <w:sz w:val="24"/>
          <w:szCs w:val="24"/>
        </w:rPr>
        <w:t>pheli ilaç advers reaksiyonlar</w:t>
      </w:r>
      <w:r w:rsidRPr="00A935F8">
        <w:rPr>
          <w:rFonts w:ascii="Times New Roman" w:hAnsi="Times New Roman" w:hint="eastAsia"/>
          <w:spacing w:val="-2"/>
          <w:sz w:val="24"/>
          <w:szCs w:val="24"/>
        </w:rPr>
        <w:t>ı</w:t>
      </w:r>
      <w:r w:rsidRPr="00A935F8">
        <w:rPr>
          <w:rFonts w:ascii="Times New Roman" w:hAnsi="Times New Roman"/>
          <w:spacing w:val="-2"/>
          <w:sz w:val="24"/>
          <w:szCs w:val="24"/>
        </w:rPr>
        <w:t>n</w:t>
      </w:r>
      <w:r w:rsidRPr="00A935F8">
        <w:rPr>
          <w:rFonts w:ascii="Times New Roman" w:hAnsi="Times New Roman" w:hint="eastAsia"/>
          <w:spacing w:val="-2"/>
          <w:sz w:val="24"/>
          <w:szCs w:val="24"/>
        </w:rPr>
        <w:t>ı</w:t>
      </w:r>
      <w:r w:rsidRPr="00A935F8">
        <w:rPr>
          <w:rFonts w:ascii="Times New Roman" w:hAnsi="Times New Roman"/>
          <w:spacing w:val="-2"/>
          <w:sz w:val="24"/>
          <w:szCs w:val="24"/>
        </w:rPr>
        <w:t>n raporlanmas</w:t>
      </w:r>
      <w:r w:rsidRPr="00A935F8">
        <w:rPr>
          <w:rFonts w:ascii="Times New Roman" w:hAnsi="Times New Roman" w:hint="eastAsia"/>
          <w:spacing w:val="-2"/>
          <w:sz w:val="24"/>
          <w:szCs w:val="24"/>
        </w:rPr>
        <w:t>ı</w:t>
      </w:r>
      <w:r w:rsidRPr="00A935F8">
        <w:rPr>
          <w:rFonts w:ascii="Times New Roman" w:hAnsi="Times New Roman"/>
          <w:spacing w:val="-2"/>
          <w:sz w:val="24"/>
          <w:szCs w:val="24"/>
        </w:rPr>
        <w:t xml:space="preserve"> büyük önem ta</w:t>
      </w:r>
      <w:r w:rsidRPr="00A935F8">
        <w:rPr>
          <w:rFonts w:ascii="Times New Roman" w:hAnsi="Times New Roman" w:hint="eastAsia"/>
          <w:spacing w:val="-2"/>
          <w:sz w:val="24"/>
          <w:szCs w:val="24"/>
        </w:rPr>
        <w:t>şı</w:t>
      </w:r>
      <w:r w:rsidRPr="00A935F8">
        <w:rPr>
          <w:rFonts w:ascii="Times New Roman" w:hAnsi="Times New Roman"/>
          <w:spacing w:val="-2"/>
          <w:sz w:val="24"/>
          <w:szCs w:val="24"/>
        </w:rPr>
        <w:t>maktad</w:t>
      </w:r>
      <w:r w:rsidRPr="00A935F8">
        <w:rPr>
          <w:rFonts w:ascii="Times New Roman" w:hAnsi="Times New Roman" w:hint="eastAsia"/>
          <w:spacing w:val="-2"/>
          <w:sz w:val="24"/>
          <w:szCs w:val="24"/>
        </w:rPr>
        <w:t>ı</w:t>
      </w:r>
      <w:r w:rsidRPr="00A935F8">
        <w:rPr>
          <w:rFonts w:ascii="Times New Roman" w:hAnsi="Times New Roman"/>
          <w:spacing w:val="-2"/>
          <w:sz w:val="24"/>
          <w:szCs w:val="24"/>
        </w:rPr>
        <w:t>r. Raporlama yap</w:t>
      </w:r>
      <w:r w:rsidRPr="00A935F8">
        <w:rPr>
          <w:rFonts w:ascii="Times New Roman" w:hAnsi="Times New Roman" w:hint="eastAsia"/>
          <w:spacing w:val="-2"/>
          <w:sz w:val="24"/>
          <w:szCs w:val="24"/>
        </w:rPr>
        <w:t>ı</w:t>
      </w:r>
      <w:r w:rsidRPr="00A935F8">
        <w:rPr>
          <w:rFonts w:ascii="Times New Roman" w:hAnsi="Times New Roman"/>
          <w:spacing w:val="-2"/>
          <w:sz w:val="24"/>
          <w:szCs w:val="24"/>
        </w:rPr>
        <w:t>lmas</w:t>
      </w:r>
      <w:r w:rsidRPr="00A935F8">
        <w:rPr>
          <w:rFonts w:ascii="Times New Roman" w:hAnsi="Times New Roman" w:hint="eastAsia"/>
          <w:spacing w:val="-2"/>
          <w:sz w:val="24"/>
          <w:szCs w:val="24"/>
        </w:rPr>
        <w:t>ı</w:t>
      </w:r>
      <w:r w:rsidRPr="00A935F8">
        <w:rPr>
          <w:rFonts w:ascii="Times New Roman" w:hAnsi="Times New Roman"/>
          <w:spacing w:val="-2"/>
          <w:sz w:val="24"/>
          <w:szCs w:val="24"/>
        </w:rPr>
        <w:t>, ilac</w:t>
      </w:r>
      <w:r w:rsidRPr="00A935F8">
        <w:rPr>
          <w:rFonts w:ascii="Times New Roman" w:hAnsi="Times New Roman" w:hint="eastAsia"/>
          <w:spacing w:val="-2"/>
          <w:sz w:val="24"/>
          <w:szCs w:val="24"/>
        </w:rPr>
        <w:t>ı</w:t>
      </w:r>
      <w:r w:rsidRPr="00A935F8">
        <w:rPr>
          <w:rFonts w:ascii="Times New Roman" w:hAnsi="Times New Roman"/>
          <w:spacing w:val="-2"/>
          <w:sz w:val="24"/>
          <w:szCs w:val="24"/>
        </w:rPr>
        <w:t>n yarar/risk dengesinin sürekli olarak izlenmesine olanak sa</w:t>
      </w:r>
      <w:r w:rsidRPr="00A935F8">
        <w:rPr>
          <w:rFonts w:ascii="Times New Roman" w:hAnsi="Times New Roman" w:hint="eastAsia"/>
          <w:spacing w:val="-2"/>
          <w:sz w:val="24"/>
          <w:szCs w:val="24"/>
        </w:rPr>
        <w:t>ğ</w:t>
      </w:r>
      <w:r w:rsidRPr="00A935F8">
        <w:rPr>
          <w:rFonts w:ascii="Times New Roman" w:hAnsi="Times New Roman"/>
          <w:spacing w:val="-2"/>
          <w:sz w:val="24"/>
          <w:szCs w:val="24"/>
        </w:rPr>
        <w:t>lar. Sa</w:t>
      </w:r>
      <w:r w:rsidRPr="00A935F8">
        <w:rPr>
          <w:rFonts w:ascii="Times New Roman" w:hAnsi="Times New Roman" w:hint="eastAsia"/>
          <w:spacing w:val="-2"/>
          <w:sz w:val="24"/>
          <w:szCs w:val="24"/>
        </w:rPr>
        <w:t>ğ</w:t>
      </w:r>
      <w:r w:rsidRPr="00A935F8">
        <w:rPr>
          <w:rFonts w:ascii="Times New Roman" w:hAnsi="Times New Roman"/>
          <w:spacing w:val="-2"/>
          <w:sz w:val="24"/>
          <w:szCs w:val="24"/>
        </w:rPr>
        <w:t>l</w:t>
      </w:r>
      <w:r w:rsidRPr="00A935F8">
        <w:rPr>
          <w:rFonts w:ascii="Times New Roman" w:hAnsi="Times New Roman" w:hint="eastAsia"/>
          <w:spacing w:val="-2"/>
          <w:sz w:val="24"/>
          <w:szCs w:val="24"/>
        </w:rPr>
        <w:t>ı</w:t>
      </w:r>
      <w:r w:rsidRPr="00A935F8">
        <w:rPr>
          <w:rFonts w:ascii="Times New Roman" w:hAnsi="Times New Roman"/>
          <w:spacing w:val="-2"/>
          <w:sz w:val="24"/>
          <w:szCs w:val="24"/>
        </w:rPr>
        <w:t>k mesle</w:t>
      </w:r>
      <w:r w:rsidRPr="00A935F8">
        <w:rPr>
          <w:rFonts w:ascii="Times New Roman" w:hAnsi="Times New Roman" w:hint="eastAsia"/>
          <w:spacing w:val="-2"/>
          <w:sz w:val="24"/>
          <w:szCs w:val="24"/>
        </w:rPr>
        <w:t>ğ</w:t>
      </w:r>
      <w:r w:rsidRPr="00A935F8">
        <w:rPr>
          <w:rFonts w:ascii="Times New Roman" w:hAnsi="Times New Roman"/>
          <w:spacing w:val="-2"/>
          <w:sz w:val="24"/>
          <w:szCs w:val="24"/>
        </w:rPr>
        <w:t>i mensuplar</w:t>
      </w:r>
      <w:r w:rsidRPr="00A935F8">
        <w:rPr>
          <w:rFonts w:ascii="Times New Roman" w:hAnsi="Times New Roman" w:hint="eastAsia"/>
          <w:spacing w:val="-2"/>
          <w:sz w:val="24"/>
          <w:szCs w:val="24"/>
        </w:rPr>
        <w:t>ı</w:t>
      </w:r>
      <w:r w:rsidRPr="00A935F8">
        <w:rPr>
          <w:rFonts w:ascii="Times New Roman" w:hAnsi="Times New Roman"/>
          <w:spacing w:val="-2"/>
          <w:sz w:val="24"/>
          <w:szCs w:val="24"/>
        </w:rPr>
        <w:t>n</w:t>
      </w:r>
      <w:r w:rsidRPr="00A935F8">
        <w:rPr>
          <w:rFonts w:ascii="Times New Roman" w:hAnsi="Times New Roman" w:hint="eastAsia"/>
          <w:spacing w:val="-2"/>
          <w:sz w:val="24"/>
          <w:szCs w:val="24"/>
        </w:rPr>
        <w:t>ı</w:t>
      </w:r>
      <w:r w:rsidRPr="00A935F8">
        <w:rPr>
          <w:rFonts w:ascii="Times New Roman" w:hAnsi="Times New Roman"/>
          <w:spacing w:val="-2"/>
          <w:sz w:val="24"/>
          <w:szCs w:val="24"/>
        </w:rPr>
        <w:t xml:space="preserve">n herhangi bir </w:t>
      </w:r>
      <w:r w:rsidRPr="00A935F8">
        <w:rPr>
          <w:rFonts w:ascii="Times New Roman" w:hAnsi="Times New Roman" w:hint="eastAsia"/>
          <w:spacing w:val="-2"/>
          <w:sz w:val="24"/>
          <w:szCs w:val="24"/>
        </w:rPr>
        <w:t>şü</w:t>
      </w:r>
      <w:r w:rsidRPr="00A935F8">
        <w:rPr>
          <w:rFonts w:ascii="Times New Roman" w:hAnsi="Times New Roman"/>
          <w:spacing w:val="-2"/>
          <w:sz w:val="24"/>
          <w:szCs w:val="24"/>
        </w:rPr>
        <w:t xml:space="preserve">pheli advers reaksiyonu Türkiye Farmakovijilans Merkezi </w:t>
      </w:r>
      <w:r w:rsidRPr="00A935F8">
        <w:rPr>
          <w:rFonts w:ascii="Times New Roman" w:hAnsi="Times New Roman"/>
          <w:spacing w:val="-2"/>
          <w:sz w:val="24"/>
          <w:szCs w:val="24"/>
        </w:rPr>
        <w:lastRenderedPageBreak/>
        <w:t xml:space="preserve">(TÜFAM)'ne bildirmeleri gerekmektedir. </w:t>
      </w:r>
      <w:r w:rsidRPr="00A935F8">
        <w:rPr>
          <w:rFonts w:ascii="Times New Roman" w:hAnsi="Times New Roman"/>
          <w:spacing w:val="-2"/>
          <w:sz w:val="24"/>
          <w:szCs w:val="24"/>
          <w:u w:val="single"/>
        </w:rPr>
        <w:t>(</w:t>
      </w:r>
      <w:hyperlink r:id="rId8" w:history="1">
        <w:r w:rsidRPr="00A935F8">
          <w:rPr>
            <w:rStyle w:val="Kpr"/>
            <w:rFonts w:ascii="Times New Roman" w:hAnsi="Times New Roman"/>
            <w:color w:val="auto"/>
            <w:spacing w:val="-2"/>
            <w:sz w:val="24"/>
            <w:szCs w:val="24"/>
          </w:rPr>
          <w:t>www.titck.gov.tr</w:t>
        </w:r>
      </w:hyperlink>
      <w:r w:rsidRPr="00A935F8">
        <w:rPr>
          <w:rFonts w:ascii="Times New Roman" w:hAnsi="Times New Roman"/>
          <w:spacing w:val="-2"/>
          <w:sz w:val="24"/>
          <w:szCs w:val="24"/>
        </w:rPr>
        <w:t xml:space="preserve">; e-posta: </w:t>
      </w:r>
      <w:hyperlink r:id="rId9" w:history="1">
        <w:r w:rsidRPr="00A935F8">
          <w:rPr>
            <w:rStyle w:val="Kpr"/>
            <w:rFonts w:ascii="Times New Roman" w:hAnsi="Times New Roman"/>
            <w:color w:val="auto"/>
            <w:spacing w:val="-2"/>
            <w:sz w:val="24"/>
            <w:szCs w:val="24"/>
          </w:rPr>
          <w:t>tufam@titck.gov.tr</w:t>
        </w:r>
      </w:hyperlink>
      <w:r w:rsidRPr="00A935F8">
        <w:rPr>
          <w:rFonts w:ascii="Times New Roman" w:hAnsi="Times New Roman"/>
          <w:spacing w:val="-2"/>
          <w:sz w:val="24"/>
          <w:szCs w:val="24"/>
        </w:rPr>
        <w:t xml:space="preserve"> ; tel: 0 800 314 00 08; faks: 0 312 218 35 99)</w:t>
      </w:r>
    </w:p>
    <w:p w:rsidR="000F78E6" w:rsidRPr="00A935F8" w:rsidRDefault="000F78E6" w:rsidP="00A935F8">
      <w:pPr>
        <w:shd w:val="clear" w:color="auto" w:fill="FFFFFF"/>
        <w:tabs>
          <w:tab w:val="left" w:pos="3658"/>
        </w:tabs>
        <w:spacing w:line="360" w:lineRule="auto"/>
        <w:ind w:right="51"/>
        <w:contextualSpacing/>
        <w:jc w:val="both"/>
        <w:rPr>
          <w:rFonts w:ascii="Times New Roman" w:hAnsi="Times New Roman" w:cs="Times New Roman"/>
          <w:sz w:val="24"/>
          <w:szCs w:val="24"/>
        </w:rPr>
      </w:pPr>
    </w:p>
    <w:p w:rsidR="00E16420" w:rsidRPr="00A935F8" w:rsidRDefault="00E16420" w:rsidP="00A935F8">
      <w:pPr>
        <w:shd w:val="clear" w:color="auto" w:fill="FFFFFF"/>
        <w:spacing w:line="360" w:lineRule="auto"/>
        <w:ind w:right="53"/>
        <w:contextualSpacing/>
        <w:jc w:val="both"/>
        <w:rPr>
          <w:rFonts w:ascii="Times New Roman" w:hAnsi="Times New Roman" w:cs="Times New Roman"/>
          <w:sz w:val="24"/>
          <w:szCs w:val="24"/>
        </w:rPr>
      </w:pPr>
      <w:r w:rsidRPr="00A935F8">
        <w:rPr>
          <w:rFonts w:ascii="Times New Roman" w:hAnsi="Times New Roman" w:cs="Times New Roman"/>
          <w:b/>
          <w:bCs/>
          <w:spacing w:val="-12"/>
          <w:sz w:val="24"/>
          <w:szCs w:val="24"/>
        </w:rPr>
        <w:t>4.9.</w:t>
      </w:r>
      <w:r w:rsidR="00923E64" w:rsidRPr="00A935F8">
        <w:rPr>
          <w:rFonts w:ascii="Times New Roman" w:hAnsi="Times New Roman" w:cs="Times New Roman"/>
          <w:b/>
          <w:bCs/>
          <w:spacing w:val="-12"/>
          <w:sz w:val="24"/>
          <w:szCs w:val="24"/>
        </w:rPr>
        <w:t xml:space="preserve"> </w:t>
      </w:r>
      <w:r w:rsidRPr="00A935F8">
        <w:rPr>
          <w:rFonts w:ascii="Times New Roman" w:hAnsi="Times New Roman" w:cs="Times New Roman"/>
          <w:b/>
          <w:sz w:val="24"/>
          <w:szCs w:val="24"/>
        </w:rPr>
        <w:t>Doz aşımı ve tedavisi</w:t>
      </w: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Gönüllülerde yapılan ve tek doz olarak 800mg'a kadar çıkılan çalışmalarda görülen yan etkiler daha düşük dozlarda görülen yan etkilere benzer ancak insidans oranlan ve ciddiyeti daha yüksek olmuştur. 200 mg sildenafil uygulandığında etkinlikte artış olmamış fakat yan etkilerin (baş ağrısı, yüzde kızarıklık, sersemlik, dispepsi, nazal konjestiyon, görmede bozukluk) insidansında artış olmuştur.</w:t>
      </w:r>
    </w:p>
    <w:p w:rsidR="000F78E6" w:rsidRPr="00542F65" w:rsidRDefault="000F78E6" w:rsidP="00A935F8">
      <w:pPr>
        <w:shd w:val="clear" w:color="auto" w:fill="FFFFFF"/>
        <w:spacing w:line="360" w:lineRule="auto"/>
        <w:ind w:right="51"/>
        <w:contextualSpacing/>
        <w:jc w:val="both"/>
        <w:rPr>
          <w:rFonts w:ascii="Times New Roman" w:hAnsi="Times New Roman" w:cs="Times New Roman"/>
          <w:b/>
          <w:color w:val="0070C0"/>
          <w:sz w:val="24"/>
          <w:szCs w:val="24"/>
        </w:rPr>
      </w:pPr>
    </w:p>
    <w:p w:rsidR="000F78E6" w:rsidRPr="00542F65" w:rsidRDefault="000F78E6" w:rsidP="00A935F8">
      <w:pPr>
        <w:shd w:val="clear" w:color="auto" w:fill="FFFFFF"/>
        <w:spacing w:line="360" w:lineRule="auto"/>
        <w:ind w:right="53"/>
        <w:contextualSpacing/>
        <w:jc w:val="both"/>
        <w:rPr>
          <w:rFonts w:ascii="Times New Roman" w:hAnsi="Times New Roman" w:cs="Times New Roman"/>
          <w:b/>
          <w:color w:val="0070C0"/>
          <w:sz w:val="24"/>
          <w:szCs w:val="24"/>
        </w:rPr>
      </w:pPr>
      <w:r w:rsidRPr="00542F65">
        <w:rPr>
          <w:rFonts w:ascii="Times New Roman" w:hAnsi="Times New Roman" w:cs="Times New Roman"/>
          <w:b/>
          <w:color w:val="0070C0"/>
          <w:sz w:val="24"/>
          <w:szCs w:val="24"/>
        </w:rPr>
        <w:t>Tedavi:</w:t>
      </w:r>
    </w:p>
    <w:p w:rsidR="00923E64" w:rsidRPr="00542F65" w:rsidRDefault="000F78E6"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Aşırı doz vakalarında standart destekleyici yaklaşımlar uygulanmalıdır. Sildenafil plazma proteinlerine yüksek oranda bağlandığı ve idrarla atılmadığı için diyalizin sildenafil klerensini hızlandırması beklenmez.</w:t>
      </w:r>
    </w:p>
    <w:p w:rsidR="000F78E6" w:rsidRPr="004C4DF2" w:rsidRDefault="000F78E6" w:rsidP="00A935F8">
      <w:pPr>
        <w:shd w:val="clear" w:color="auto" w:fill="FFFFFF"/>
        <w:spacing w:line="360" w:lineRule="auto"/>
        <w:ind w:right="51"/>
        <w:contextualSpacing/>
        <w:jc w:val="both"/>
        <w:rPr>
          <w:rFonts w:ascii="Times New Roman" w:hAnsi="Times New Roman" w:cs="Times New Roman"/>
          <w:sz w:val="24"/>
          <w:szCs w:val="24"/>
        </w:rPr>
      </w:pPr>
    </w:p>
    <w:p w:rsidR="00E16420" w:rsidRPr="004C4DF2" w:rsidRDefault="00E16420" w:rsidP="00A935F8">
      <w:pPr>
        <w:shd w:val="clear" w:color="auto" w:fill="FFFFFF"/>
        <w:spacing w:line="360" w:lineRule="auto"/>
        <w:ind w:right="53"/>
        <w:contextualSpacing/>
        <w:jc w:val="both"/>
        <w:rPr>
          <w:rFonts w:ascii="Times New Roman" w:hAnsi="Times New Roman" w:cs="Times New Roman"/>
          <w:sz w:val="24"/>
          <w:szCs w:val="24"/>
        </w:rPr>
      </w:pPr>
      <w:r w:rsidRPr="004C4DF2">
        <w:rPr>
          <w:rFonts w:ascii="Times New Roman" w:hAnsi="Times New Roman" w:cs="Times New Roman"/>
          <w:b/>
          <w:bCs/>
          <w:color w:val="000000"/>
          <w:sz w:val="24"/>
          <w:szCs w:val="24"/>
        </w:rPr>
        <w:t>5.</w:t>
      </w:r>
      <w:r w:rsidR="00923E64" w:rsidRPr="004C4DF2">
        <w:rPr>
          <w:rFonts w:ascii="Times New Roman" w:hAnsi="Times New Roman" w:cs="Times New Roman"/>
          <w:b/>
          <w:bCs/>
          <w:color w:val="000000"/>
          <w:sz w:val="24"/>
          <w:szCs w:val="24"/>
        </w:rPr>
        <w:t xml:space="preserve"> </w:t>
      </w:r>
      <w:r w:rsidRPr="004C4DF2">
        <w:rPr>
          <w:rFonts w:ascii="Times New Roman" w:hAnsi="Times New Roman" w:cs="Times New Roman"/>
          <w:b/>
          <w:bCs/>
          <w:color w:val="000000"/>
          <w:sz w:val="24"/>
          <w:szCs w:val="24"/>
        </w:rPr>
        <w:t>FARMAKOLOJİK ÖZELLİKLER</w:t>
      </w:r>
    </w:p>
    <w:p w:rsidR="00E16420" w:rsidRPr="000D1EE0" w:rsidRDefault="00E16420" w:rsidP="00A935F8">
      <w:pPr>
        <w:shd w:val="clear" w:color="auto" w:fill="FFFFFF"/>
        <w:spacing w:line="360" w:lineRule="auto"/>
        <w:ind w:right="53"/>
        <w:contextualSpacing/>
        <w:jc w:val="both"/>
        <w:rPr>
          <w:rFonts w:ascii="Times New Roman" w:hAnsi="Times New Roman" w:cs="Times New Roman"/>
          <w:b/>
          <w:bCs/>
          <w:color w:val="000000"/>
          <w:sz w:val="24"/>
          <w:szCs w:val="24"/>
        </w:rPr>
      </w:pPr>
      <w:r w:rsidRPr="000D1EE0">
        <w:rPr>
          <w:rFonts w:ascii="Times New Roman" w:hAnsi="Times New Roman" w:cs="Times New Roman"/>
          <w:b/>
          <w:bCs/>
          <w:color w:val="000000"/>
          <w:sz w:val="24"/>
          <w:szCs w:val="24"/>
        </w:rPr>
        <w:t>5.1.</w:t>
      </w:r>
      <w:r w:rsidR="00923E64" w:rsidRPr="000D1EE0">
        <w:rPr>
          <w:rFonts w:ascii="Times New Roman" w:hAnsi="Times New Roman" w:cs="Times New Roman"/>
          <w:b/>
          <w:bCs/>
          <w:color w:val="000000"/>
          <w:sz w:val="24"/>
          <w:szCs w:val="24"/>
        </w:rPr>
        <w:t xml:space="preserve"> </w:t>
      </w:r>
      <w:r w:rsidRPr="000D1EE0">
        <w:rPr>
          <w:rFonts w:ascii="Times New Roman" w:hAnsi="Times New Roman" w:cs="Times New Roman"/>
          <w:b/>
          <w:bCs/>
          <w:color w:val="000000"/>
          <w:sz w:val="24"/>
          <w:szCs w:val="24"/>
        </w:rPr>
        <w:t>Farmakodinamik özellikler</w:t>
      </w:r>
    </w:p>
    <w:p w:rsidR="00E9688B" w:rsidRPr="00542F65" w:rsidRDefault="00E16420"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 xml:space="preserve">Farmakoterapötik grup: </w:t>
      </w:r>
      <w:r w:rsidR="000F78E6" w:rsidRPr="00542F65">
        <w:rPr>
          <w:rFonts w:ascii="Times New Roman" w:hAnsi="Times New Roman" w:cs="Times New Roman"/>
          <w:color w:val="0070C0"/>
          <w:spacing w:val="-6"/>
          <w:sz w:val="24"/>
          <w:szCs w:val="24"/>
        </w:rPr>
        <w:t>Erektil disfonksiyonda kullanılan ilaçlar; Fosfodiesteraz İnhibitörleri</w:t>
      </w:r>
    </w:p>
    <w:p w:rsidR="00E16420" w:rsidRPr="00542F65" w:rsidRDefault="00E16420" w:rsidP="00A935F8">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 xml:space="preserve">ATC kodu: </w:t>
      </w:r>
      <w:r w:rsidR="000F78E6" w:rsidRPr="00542F65">
        <w:rPr>
          <w:rFonts w:ascii="Times New Roman" w:hAnsi="Times New Roman" w:cs="Times New Roman"/>
          <w:color w:val="0070C0"/>
          <w:sz w:val="24"/>
          <w:szCs w:val="24"/>
        </w:rPr>
        <w:t>G04B E03</w:t>
      </w:r>
    </w:p>
    <w:p w:rsidR="00F54952" w:rsidRPr="00542F65" w:rsidRDefault="00F54952" w:rsidP="00A935F8">
      <w:pPr>
        <w:shd w:val="clear" w:color="auto" w:fill="FFFFFF"/>
        <w:spacing w:line="360" w:lineRule="auto"/>
        <w:ind w:right="51"/>
        <w:contextualSpacing/>
        <w:jc w:val="both"/>
        <w:rPr>
          <w:rFonts w:ascii="Times New Roman" w:hAnsi="Times New Roman" w:cs="Times New Roman"/>
          <w:color w:val="0070C0"/>
          <w:spacing w:val="-6"/>
          <w:sz w:val="24"/>
          <w:szCs w:val="24"/>
          <w:u w:val="single"/>
        </w:rPr>
      </w:pP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Sildenafil, erektil disfonksiyon için oral bir tedavidir. Seksüel stimülasyona doğal bir cevap sonucu penise kan akımını artırarak bozulmuş erektil fonksiyonu düzeltir.</w:t>
      </w:r>
    </w:p>
    <w:p w:rsidR="000F78E6" w:rsidRPr="00542F65" w:rsidRDefault="000F78E6" w:rsidP="00A935F8">
      <w:pPr>
        <w:shd w:val="clear" w:color="auto" w:fill="FFFFFF"/>
        <w:spacing w:line="360" w:lineRule="auto"/>
        <w:ind w:right="51"/>
        <w:contextualSpacing/>
        <w:jc w:val="both"/>
        <w:rPr>
          <w:rFonts w:ascii="Times New Roman" w:hAnsi="Times New Roman" w:cs="Times New Roman"/>
          <w:color w:val="0070C0"/>
          <w:spacing w:val="-6"/>
          <w:sz w:val="24"/>
          <w:szCs w:val="24"/>
        </w:rPr>
      </w:pP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Penisin ereksiyonunu sağlayan fizyolojik mekanizma seksüel stimülasyon esnasında corpus kavernosumdan nitrik oksit (NO) serbest bırakılmasını gerektirir. Daha sonra nitrik oksit guanilat siklaz enzimini aktive eder ve bu siklik guanozin monofosfat (sGMP) düzeyinde artış ile sonuçlanır ki, böylece korpus kavernosumdaki düz kasların gevşemesi ve kanın korpus kavernosum içine dolması sağlanmış olur.</w:t>
      </w:r>
    </w:p>
    <w:p w:rsidR="005F74E6" w:rsidRPr="00542F65" w:rsidRDefault="005F74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 xml:space="preserve">Sildenafil, korpus kavernosumdaki sGMP'nin degradasyonundan sorumlu sGMP'ye spesifik fosfodiesteraz tip 5 (PDE5) enziminin potent ve selektif bir inhibitörüdür. Sildenafil, ereksiyon üzerine periferik bir etki yerine sahiptir. Sildenafilin izole insan korpus kavernosumunda direkt bir gevşetici etkisi yoktur ancak bu doku üzerinde bulunan nitrik oksidin gevşetici etkisini artırma potansiyeline sahiptir. Seksüel stimülasyon ile olduğu gibi, NO/sGMP yolu aktive olduğunda, sildenafilin PDE5 enzimini inhibe etmesi korpus kavernosumdaki sGMP seviyelerinde artışa sebep olur. Bu sebeple </w:t>
      </w:r>
      <w:r w:rsidR="00D1655A" w:rsidRPr="00542F65">
        <w:rPr>
          <w:rFonts w:ascii="Times New Roman" w:hAnsi="Times New Roman" w:cs="Times New Roman"/>
          <w:color w:val="0070C0"/>
          <w:spacing w:val="-6"/>
          <w:sz w:val="24"/>
          <w:szCs w:val="24"/>
        </w:rPr>
        <w:t>DEGRA</w:t>
      </w:r>
      <w:r w:rsidRPr="00542F65">
        <w:rPr>
          <w:rFonts w:ascii="Times New Roman" w:hAnsi="Times New Roman" w:cs="Times New Roman"/>
          <w:color w:val="0070C0"/>
          <w:spacing w:val="-6"/>
          <w:sz w:val="24"/>
          <w:szCs w:val="24"/>
        </w:rPr>
        <w:t xml:space="preserve">'nın amaçlanan </w:t>
      </w:r>
      <w:r w:rsidRPr="00542F65">
        <w:rPr>
          <w:rFonts w:ascii="Times New Roman" w:hAnsi="Times New Roman" w:cs="Times New Roman"/>
          <w:color w:val="0070C0"/>
          <w:spacing w:val="-6"/>
          <w:sz w:val="24"/>
          <w:szCs w:val="24"/>
        </w:rPr>
        <w:lastRenderedPageBreak/>
        <w:t>faydalı farmakolojik etkilerini gösterebilmesi için seksüel stimülasyon gereklidir.</w:t>
      </w: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p>
    <w:p w:rsidR="005F74E6" w:rsidRPr="00542F65" w:rsidRDefault="005F74E6" w:rsidP="005F74E6">
      <w:pPr>
        <w:shd w:val="clear" w:color="auto" w:fill="FFFFFF"/>
        <w:spacing w:line="360" w:lineRule="auto"/>
        <w:ind w:right="53"/>
        <w:contextualSpacing/>
        <w:jc w:val="both"/>
        <w:rPr>
          <w:rFonts w:ascii="Times New Roman" w:hAnsi="Times New Roman" w:cs="Times New Roman"/>
          <w:b/>
          <w:color w:val="0070C0"/>
          <w:spacing w:val="-6"/>
          <w:sz w:val="24"/>
          <w:szCs w:val="24"/>
        </w:rPr>
      </w:pPr>
      <w:r w:rsidRPr="00542F65">
        <w:rPr>
          <w:rFonts w:ascii="Times New Roman" w:hAnsi="Times New Roman" w:cs="Times New Roman"/>
          <w:b/>
          <w:color w:val="0070C0"/>
          <w:spacing w:val="-6"/>
          <w:sz w:val="24"/>
          <w:szCs w:val="24"/>
        </w:rPr>
        <w:t>Farmakodinamik etkiler</w:t>
      </w:r>
    </w:p>
    <w:p w:rsidR="005F74E6" w:rsidRPr="00542F65" w:rsidRDefault="005F74E6" w:rsidP="005F74E6">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In vitro çalışmalar sildenafilin ereksiyon prosesinde rol oynayan PDE5’e seçici olduğunu göstermiştir. Diğer fosfodiesterazlara kıyasla PDE5 üzerine etkisi daha güçlüdür. Retinadaki fototransdüksiyon yolağında rol oynayan PDE6’ya kıyasla 10 kat daha fazla selektiftir. Önerilen maksimum dozlarda PDE1’e kıyasla 80 kat, PDE 2, 3, 4 7, 8, 9, 10 ve 11’e kıyasla 700 kat daha selektiftir. Sildenafil özellikle kardiyak kontraktilite kontrolünde rol alan cAMP-spesifik fosfodiesteraz izoformu olan PDE3’e kıyasla PDE5 üzerine 4000-kattan daha büyük bir selektifliğe sahiptir.</w:t>
      </w:r>
    </w:p>
    <w:p w:rsidR="005F74E6" w:rsidRPr="00542F65" w:rsidRDefault="005F74E6" w:rsidP="005F74E6">
      <w:pPr>
        <w:shd w:val="clear" w:color="auto" w:fill="FFFFFF"/>
        <w:spacing w:line="360" w:lineRule="auto"/>
        <w:ind w:right="53"/>
        <w:contextualSpacing/>
        <w:jc w:val="both"/>
        <w:rPr>
          <w:rFonts w:ascii="Times New Roman" w:hAnsi="Times New Roman" w:cs="Times New Roman"/>
          <w:color w:val="0070C0"/>
          <w:spacing w:val="-6"/>
          <w:sz w:val="24"/>
          <w:szCs w:val="24"/>
        </w:rPr>
      </w:pPr>
    </w:p>
    <w:p w:rsidR="005F74E6" w:rsidRPr="00542F65" w:rsidRDefault="005F74E6" w:rsidP="005F74E6">
      <w:pPr>
        <w:shd w:val="clear" w:color="auto" w:fill="FFFFFF"/>
        <w:spacing w:line="360" w:lineRule="auto"/>
        <w:ind w:right="53"/>
        <w:contextualSpacing/>
        <w:jc w:val="both"/>
        <w:rPr>
          <w:rFonts w:ascii="Times New Roman" w:hAnsi="Times New Roman" w:cs="Times New Roman"/>
          <w:b/>
          <w:color w:val="0070C0"/>
          <w:spacing w:val="-6"/>
          <w:sz w:val="24"/>
          <w:szCs w:val="24"/>
        </w:rPr>
      </w:pPr>
      <w:r w:rsidRPr="00542F65">
        <w:rPr>
          <w:rFonts w:ascii="Times New Roman" w:hAnsi="Times New Roman" w:cs="Times New Roman"/>
          <w:b/>
          <w:color w:val="0070C0"/>
          <w:spacing w:val="-6"/>
          <w:sz w:val="24"/>
          <w:szCs w:val="24"/>
        </w:rPr>
        <w:t>Klinik etkililik ve güvenlilik:</w:t>
      </w:r>
    </w:p>
    <w:p w:rsidR="005F74E6" w:rsidRPr="00542F65" w:rsidRDefault="005F74E6" w:rsidP="005F74E6">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Sildenafilin seksüel stimülasyona cevap olarak ereksiyon oluşturma zaman aralığının değerlendirilmesi amacı ile iki klinik çalışma düzenlenmiştir. Hastalarda aç karnına yapılan penil pletismograf (RigiScan) çalışmasında, sildenafil alınması sonucunda, seksüel birleşme için yeterli kabul edilen %60 oranındaki ereksiyon sertliğinin sağlanmasına kadar geçen süre ortalama 25 dakika olmuştur. (12 – 37 dakika). Başka bir RigiScan çalışmasında, sildenafilin, uygulamadan sonraki 4.-5. saatlerde bile seksüel stimülasyona bağlı ereksiyon oluşturma potansiyeline sahip olduğu gösterilmiştir.</w:t>
      </w:r>
    </w:p>
    <w:p w:rsidR="005F74E6" w:rsidRPr="00542F65" w:rsidRDefault="005F74E6" w:rsidP="005F74E6">
      <w:pPr>
        <w:shd w:val="clear" w:color="auto" w:fill="FFFFFF"/>
        <w:spacing w:line="360" w:lineRule="auto"/>
        <w:ind w:right="53"/>
        <w:contextualSpacing/>
        <w:jc w:val="both"/>
        <w:rPr>
          <w:rFonts w:ascii="Times New Roman" w:hAnsi="Times New Roman" w:cs="Times New Roman"/>
          <w:b/>
          <w:color w:val="0070C0"/>
          <w:spacing w:val="-6"/>
          <w:sz w:val="24"/>
          <w:szCs w:val="24"/>
        </w:rPr>
      </w:pP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 xml:space="preserve">Sildenafil, kan basıncında hafif ve geçici düşmelere sebep olur, ancak vakaların çoğunda bu klinik bir etki oluşturmaz. 100 mg oral dozu takiben yatar pozisyonda görülen ortalama maksimum sistolik kan basıncı düşmesi 8.4 mmHg olmuştur. Bu duruma uygun olarak yatar pozisyonda diastolik basınç değişmesi 5.5 mmHg olmuştur. Kan </w:t>
      </w:r>
      <w:r w:rsidR="00E1024B" w:rsidRPr="00542F65">
        <w:rPr>
          <w:rFonts w:ascii="Times New Roman" w:hAnsi="Times New Roman" w:cs="Times New Roman"/>
          <w:color w:val="0070C0"/>
          <w:spacing w:val="-6"/>
          <w:sz w:val="24"/>
          <w:szCs w:val="24"/>
        </w:rPr>
        <w:t>basıncındaki</w:t>
      </w:r>
      <w:r w:rsidRPr="00542F65">
        <w:rPr>
          <w:rFonts w:ascii="Times New Roman" w:hAnsi="Times New Roman" w:cs="Times New Roman"/>
          <w:color w:val="0070C0"/>
          <w:spacing w:val="-6"/>
          <w:sz w:val="24"/>
          <w:szCs w:val="24"/>
        </w:rPr>
        <w:t xml:space="preserve"> bu azalmalar sildenafilin vasodilatör etkileri ile uyumludur ki bu vasodilatasyonun sebebi büyük olasılıkla vasküler düz kaslardaki artmış sGMP seviyesidir.</w:t>
      </w:r>
      <w:r w:rsidR="005F74E6" w:rsidRPr="00542F65">
        <w:rPr>
          <w:rFonts w:ascii="Times New Roman" w:hAnsi="Times New Roman" w:cs="Times New Roman"/>
          <w:color w:val="0070C0"/>
          <w:spacing w:val="-6"/>
          <w:sz w:val="24"/>
          <w:szCs w:val="24"/>
        </w:rPr>
        <w:t xml:space="preserve"> Sağlıklı gönüllülerde 100 mg’a kadar olan sildenafilin oral yolla tek doz uygulanması sonucunda EKG’de klinik olarak anlamlı hiçbir etki oluşturmamıştır.</w:t>
      </w: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p>
    <w:p w:rsidR="005F74E6" w:rsidRPr="00542F65" w:rsidRDefault="005F74E6" w:rsidP="005F74E6">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Tek bir oral doz 100 mg sildenafilin hemodinamik etkileri üzerine, ciddi koroner arter rahatsızlığı olan 14 hastada (en azından bir koroner arterde ≥ %70 stenoz mevcuttu) yapılan bir çalışmada, dinlenme halindeki ortalama sistolik ve diyastolik kan basıncı, taban değerlere kıyasla sırasıyla % 7 ve % 6 azalmıştır. Ortalama pulmoner sistolik kan basıncı % 9 azalmıştır. Sildenafilin kardiyak output üzerine hiçbir etkisi olmamıştır, stenoz durumundaki koroner arterler içinden kan akışını bozmamıştır.</w:t>
      </w:r>
    </w:p>
    <w:p w:rsidR="005F74E6" w:rsidRPr="00542F65" w:rsidRDefault="005F74E6" w:rsidP="005F74E6">
      <w:pPr>
        <w:shd w:val="clear" w:color="auto" w:fill="FFFFFF"/>
        <w:spacing w:line="360" w:lineRule="auto"/>
        <w:ind w:right="53"/>
        <w:contextualSpacing/>
        <w:jc w:val="both"/>
        <w:rPr>
          <w:rFonts w:ascii="Times New Roman" w:hAnsi="Times New Roman" w:cs="Times New Roman"/>
          <w:color w:val="0070C0"/>
          <w:spacing w:val="-6"/>
          <w:sz w:val="24"/>
          <w:szCs w:val="24"/>
        </w:rPr>
      </w:pPr>
    </w:p>
    <w:p w:rsidR="005F74E6" w:rsidRPr="00542F65" w:rsidRDefault="005F74E6" w:rsidP="005F74E6">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Çift kör plasebo kontrollü bir egzersiz stres çalışmasında, düzenli olarak antianjinal ilaç (nitratlar dışında) kullanan, erektil disfonksiyon ve stabil anjinası olan 144 hasta değerlendirilmiştir. Sonuçlar sınırlayıcı anjinaya kadar olan zamanda sildenafil ile plasebo arasında klinik olarak anlamlı farklar göstermemiştir.</w:t>
      </w: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lastRenderedPageBreak/>
        <w:t>100 mg dozu takip eden 1 saat içinde Farns</w:t>
      </w:r>
      <w:r w:rsidR="001D00F9" w:rsidRPr="00542F65">
        <w:rPr>
          <w:rFonts w:ascii="Times New Roman" w:hAnsi="Times New Roman" w:cs="Times New Roman"/>
          <w:color w:val="0070C0"/>
          <w:spacing w:val="-6"/>
          <w:sz w:val="24"/>
          <w:szCs w:val="24"/>
        </w:rPr>
        <w:t>w</w:t>
      </w:r>
      <w:r w:rsidRPr="00542F65">
        <w:rPr>
          <w:rFonts w:ascii="Times New Roman" w:hAnsi="Times New Roman" w:cs="Times New Roman"/>
          <w:color w:val="0070C0"/>
          <w:spacing w:val="-6"/>
          <w:sz w:val="24"/>
          <w:szCs w:val="24"/>
        </w:rPr>
        <w:t>orth - Munsell 100 renk testini kullanan kimi deneklerde renkleri (mavi/yeşil) ayırt edebilmede meydana gelen hafif ve geçici değişiklikler olsa da doz alımından 2 saat sonra hiçbir etki kalmamıştır. Renk ayır</w:t>
      </w:r>
      <w:r w:rsidR="00273D52" w:rsidRPr="00542F65">
        <w:rPr>
          <w:rFonts w:ascii="Times New Roman" w:hAnsi="Times New Roman" w:cs="Times New Roman"/>
          <w:color w:val="0070C0"/>
          <w:spacing w:val="-6"/>
          <w:sz w:val="24"/>
          <w:szCs w:val="24"/>
        </w:rPr>
        <w:t>t</w:t>
      </w:r>
      <w:r w:rsidRPr="00542F65">
        <w:rPr>
          <w:rFonts w:ascii="Times New Roman" w:hAnsi="Times New Roman" w:cs="Times New Roman"/>
          <w:color w:val="0070C0"/>
          <w:spacing w:val="-6"/>
          <w:sz w:val="24"/>
          <w:szCs w:val="24"/>
        </w:rPr>
        <w:t xml:space="preserve"> etme mekanizmasında meydana gelen bu değişikliğin retinanın fototransdüksiyon kaskadında yer alan PDE6 enziminin inhibisyonu ile bağlantılı olduğu öngörülmektedir. </w:t>
      </w:r>
      <w:r w:rsidR="00D1655A" w:rsidRPr="00542F65">
        <w:rPr>
          <w:rFonts w:ascii="Times New Roman" w:hAnsi="Times New Roman" w:cs="Times New Roman"/>
          <w:color w:val="0070C0"/>
          <w:spacing w:val="-6"/>
          <w:sz w:val="24"/>
          <w:szCs w:val="24"/>
        </w:rPr>
        <w:t>DEGRA</w:t>
      </w:r>
      <w:r w:rsidRPr="00542F65">
        <w:rPr>
          <w:rFonts w:ascii="Times New Roman" w:hAnsi="Times New Roman" w:cs="Times New Roman"/>
          <w:color w:val="0070C0"/>
          <w:spacing w:val="-6"/>
          <w:sz w:val="24"/>
          <w:szCs w:val="24"/>
        </w:rPr>
        <w:t>'nın görme keskinliği veya kontrast renkleri seçebilme duyarlılığı üzerine bir etkisi yoktur.</w:t>
      </w:r>
      <w:r w:rsidR="00170A43" w:rsidRPr="00542F65">
        <w:rPr>
          <w:color w:val="0070C0"/>
        </w:rPr>
        <w:t xml:space="preserve"> </w:t>
      </w:r>
      <w:r w:rsidR="00170A43" w:rsidRPr="00542F65">
        <w:rPr>
          <w:rFonts w:ascii="Times New Roman" w:hAnsi="Times New Roman" w:cs="Times New Roman"/>
          <w:color w:val="0070C0"/>
          <w:spacing w:val="-6"/>
          <w:sz w:val="24"/>
          <w:szCs w:val="24"/>
        </w:rPr>
        <w:t>Dokümante edilmiş erken, yaş ile ilgili maküler dejenerasyonu olan (n=9) hastalarda yapılan plasebo kontrollü bir çapraz çalışmada sildenafil (tek doz 100 mg) iyi tolere edilmiştir ve yapılan görsel testler (görme keskinliği, Amsler grid, renk ayrımı, simüle edilmiş trafik ışığı, Humphrey perimetre ve fotostres) klinik olarak anlamlı hiçbir değişiklik göstermemiştir.</w:t>
      </w: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p>
    <w:p w:rsidR="000F78E6" w:rsidRPr="00542F65" w:rsidRDefault="00170A43"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Sağlıklı gönüllülerde sildenafilin 100 mg’lık oral tek doz uygulamasından sonra sperm motilitesi veya morfolojisi üzerine bir etki görülmemiştir (Bkz. Bölüm 4.6).</w:t>
      </w:r>
    </w:p>
    <w:p w:rsidR="00170A43" w:rsidRPr="00542F65" w:rsidRDefault="00170A43"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u w:val="single"/>
        </w:rPr>
      </w:pPr>
      <w:r w:rsidRPr="00542F65">
        <w:rPr>
          <w:rFonts w:ascii="Times New Roman" w:hAnsi="Times New Roman" w:cs="Times New Roman"/>
          <w:color w:val="0070C0"/>
          <w:spacing w:val="-6"/>
          <w:sz w:val="24"/>
          <w:szCs w:val="24"/>
          <w:u w:val="single"/>
        </w:rPr>
        <w:t>Klinik Çalışmalara Ait Başka Bilgiler</w:t>
      </w: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 xml:space="preserve">Klinik çalışmalarda, sildenafil, yaşları 19 ila 87 arasında değişen </w:t>
      </w:r>
      <w:r w:rsidR="00FD685B" w:rsidRPr="00542F65">
        <w:rPr>
          <w:rFonts w:ascii="Times New Roman" w:hAnsi="Times New Roman" w:cs="Times New Roman"/>
          <w:color w:val="0070C0"/>
          <w:spacing w:val="-6"/>
          <w:sz w:val="24"/>
          <w:szCs w:val="24"/>
        </w:rPr>
        <w:t>8</w:t>
      </w:r>
      <w:r w:rsidRPr="00542F65">
        <w:rPr>
          <w:rFonts w:ascii="Times New Roman" w:hAnsi="Times New Roman" w:cs="Times New Roman"/>
          <w:color w:val="0070C0"/>
          <w:spacing w:val="-6"/>
          <w:sz w:val="24"/>
          <w:szCs w:val="24"/>
        </w:rPr>
        <w:t>000</w:t>
      </w:r>
      <w:r w:rsidR="00E96400" w:rsidRPr="00542F65">
        <w:rPr>
          <w:rFonts w:ascii="Times New Roman" w:hAnsi="Times New Roman" w:cs="Times New Roman"/>
          <w:color w:val="0070C0"/>
          <w:spacing w:val="-6"/>
          <w:sz w:val="24"/>
          <w:szCs w:val="24"/>
        </w:rPr>
        <w:t xml:space="preserve"> </w:t>
      </w:r>
      <w:r w:rsidRPr="00542F65">
        <w:rPr>
          <w:rFonts w:ascii="Times New Roman" w:hAnsi="Times New Roman" w:cs="Times New Roman"/>
          <w:color w:val="0070C0"/>
          <w:spacing w:val="-6"/>
          <w:sz w:val="24"/>
          <w:szCs w:val="24"/>
        </w:rPr>
        <w:t xml:space="preserve">den fazla hastaya uygulanmıştır. </w:t>
      </w:r>
      <w:r w:rsidR="00FD685B" w:rsidRPr="00542F65">
        <w:rPr>
          <w:rFonts w:ascii="Times New Roman" w:hAnsi="Times New Roman" w:cs="Times New Roman"/>
          <w:color w:val="0070C0"/>
          <w:spacing w:val="-6"/>
          <w:sz w:val="24"/>
          <w:szCs w:val="24"/>
        </w:rPr>
        <w:t>Temsil edilen hasta grupları; yaşlılar (%19.9), hipertansiyonlu hastalar (%30.9), diabetes mellitus (%20.3), iskemik kalp hastalığı (%5.8), hiperlipidemi (%19.8), spinal kord yaralanması (%0.6), depresyon (%5.2), prostatın transüretral rezeksiyonu (%3.7), radikal prostatektomi (%3.3). Klinik çalışmalarda tam anlamıyla temsil edilemeyen veya çalışma dışında tutulan gruplar; Pelvik operasyon geçirmiş hastalar, radyoterapi sonrası hastalar, ciddi böbrek veya karaciğer bozukluğu olan hastalar ve aşikar kardiovasküler durumu olan hastalar (Bkz.4.3 Kontrendikasyonlar)</w:t>
      </w:r>
      <w:r w:rsidRPr="00542F65">
        <w:rPr>
          <w:rFonts w:ascii="Times New Roman" w:hAnsi="Times New Roman" w:cs="Times New Roman"/>
          <w:color w:val="0070C0"/>
          <w:spacing w:val="-6"/>
          <w:sz w:val="24"/>
          <w:szCs w:val="24"/>
        </w:rPr>
        <w:t>.</w:t>
      </w: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p>
    <w:p w:rsidR="000F78E6" w:rsidRPr="00542F65" w:rsidRDefault="000F78E6"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Sabit doz çalışmalarında, tedavinin ereksiyonu iyileştirdiğini belirten hasta oranları, plasebo ile %25 olurken, 25 mg ile %62, 50 mg ile %74 ve 100 mg ile %82 olmuştur. Kontrollü klinik çalışmalarda sildenafile bağlı ilacı bırakma oranı plaseboya nazaran aynı veya daha düşük olmuştur.</w:t>
      </w:r>
      <w:r w:rsidR="00EA0954" w:rsidRPr="00542F65">
        <w:rPr>
          <w:rFonts w:ascii="Times New Roman" w:hAnsi="Times New Roman" w:cs="Times New Roman"/>
          <w:color w:val="0070C0"/>
          <w:spacing w:val="-6"/>
          <w:sz w:val="24"/>
          <w:szCs w:val="24"/>
        </w:rPr>
        <w:t xml:space="preserve"> </w:t>
      </w:r>
      <w:r w:rsidRPr="00542F65">
        <w:rPr>
          <w:rFonts w:ascii="Times New Roman" w:hAnsi="Times New Roman" w:cs="Times New Roman"/>
          <w:color w:val="0070C0"/>
          <w:spacing w:val="-6"/>
          <w:sz w:val="24"/>
          <w:szCs w:val="24"/>
        </w:rPr>
        <w:t>Tüm çalışmalar ele alındığında, sildenafile bağlı olarak gelişme olduğunu bildiren hastaların oranı; psikojenik erektil disfonksiyon (%84), miks erektil disfonksiyon (%77), organik erektil disfonksiyon (%68), yaşlılar (%67), diyabetli hastalar (%59), iskemik kalp hastalığı (%69), hipertansiyon (%68), prostatın transüretral reseksiyonu (%61), radikal prostatektomi (%43), spinal kord yaralanması (%83), depresyon (%75). Uzun süreli çalışmalarda, sildenafilin etkinlik ve emniyeti sürdürülmüştür.</w:t>
      </w:r>
    </w:p>
    <w:p w:rsidR="000F78E6" w:rsidRPr="000F78E6" w:rsidRDefault="000F78E6" w:rsidP="00A935F8">
      <w:pPr>
        <w:shd w:val="clear" w:color="auto" w:fill="FFFFFF"/>
        <w:spacing w:line="360" w:lineRule="auto"/>
        <w:ind w:right="53"/>
        <w:contextualSpacing/>
        <w:jc w:val="both"/>
        <w:rPr>
          <w:rFonts w:ascii="Times New Roman" w:hAnsi="Times New Roman" w:cs="Times New Roman"/>
          <w:sz w:val="24"/>
          <w:szCs w:val="24"/>
        </w:rPr>
      </w:pPr>
    </w:p>
    <w:p w:rsidR="0086204F" w:rsidRPr="00EA0954" w:rsidRDefault="00E16420" w:rsidP="00A935F8">
      <w:pPr>
        <w:shd w:val="clear" w:color="auto" w:fill="FFFFFF"/>
        <w:spacing w:line="360" w:lineRule="auto"/>
        <w:ind w:right="53"/>
        <w:contextualSpacing/>
        <w:jc w:val="both"/>
        <w:rPr>
          <w:rFonts w:ascii="Times New Roman" w:hAnsi="Times New Roman" w:cs="Times New Roman"/>
          <w:b/>
          <w:bCs/>
          <w:color w:val="000000"/>
          <w:spacing w:val="-10"/>
          <w:sz w:val="24"/>
          <w:szCs w:val="24"/>
        </w:rPr>
      </w:pPr>
      <w:r w:rsidRPr="004C4DF2">
        <w:rPr>
          <w:rFonts w:ascii="Times New Roman" w:hAnsi="Times New Roman" w:cs="Times New Roman"/>
          <w:b/>
          <w:bCs/>
          <w:color w:val="000000"/>
          <w:spacing w:val="-10"/>
          <w:sz w:val="24"/>
          <w:szCs w:val="24"/>
        </w:rPr>
        <w:t>5.2. Farmakokinetik özellikler</w:t>
      </w:r>
    </w:p>
    <w:p w:rsidR="0086204F" w:rsidRPr="00542F65" w:rsidRDefault="0086204F" w:rsidP="00A935F8">
      <w:pPr>
        <w:shd w:val="clear" w:color="auto" w:fill="FFFFFF"/>
        <w:spacing w:line="360" w:lineRule="auto"/>
        <w:ind w:right="53"/>
        <w:contextualSpacing/>
        <w:jc w:val="both"/>
        <w:rPr>
          <w:rFonts w:ascii="Times New Roman" w:hAnsi="Times New Roman" w:cs="Times New Roman"/>
          <w:color w:val="0070C0"/>
          <w:spacing w:val="-6"/>
          <w:sz w:val="24"/>
          <w:szCs w:val="24"/>
          <w:u w:val="single"/>
        </w:rPr>
      </w:pPr>
      <w:r w:rsidRPr="00542F65">
        <w:rPr>
          <w:rFonts w:ascii="Times New Roman" w:hAnsi="Times New Roman" w:cs="Times New Roman"/>
          <w:color w:val="0070C0"/>
          <w:spacing w:val="-6"/>
          <w:sz w:val="24"/>
          <w:szCs w:val="24"/>
          <w:u w:val="single"/>
        </w:rPr>
        <w:t>Emilim</w:t>
      </w:r>
    </w:p>
    <w:p w:rsidR="0086204F" w:rsidRPr="00542F65" w:rsidRDefault="0086204F"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 xml:space="preserve">Sildenafil hızla emilir. Maksimum plazma konsantrasyonuna aç karnına oral alımın 30. ila 120. dakikası arasında ulaşır (ortalama 60 dakika). Mutlak oral biyoyararlanım ortalama olarak %41'dir (%25-%63 </w:t>
      </w:r>
      <w:r w:rsidRPr="00542F65">
        <w:rPr>
          <w:rFonts w:ascii="Times New Roman" w:hAnsi="Times New Roman" w:cs="Times New Roman"/>
          <w:color w:val="0070C0"/>
          <w:spacing w:val="-6"/>
          <w:sz w:val="24"/>
          <w:szCs w:val="24"/>
        </w:rPr>
        <w:lastRenderedPageBreak/>
        <w:t>arasında değişir). Uygulama sonrası sildenafilin EAA ve C</w:t>
      </w:r>
      <w:r w:rsidRPr="00542F65">
        <w:rPr>
          <w:rFonts w:ascii="Times New Roman" w:hAnsi="Times New Roman" w:cs="Times New Roman"/>
          <w:color w:val="0070C0"/>
          <w:spacing w:val="-6"/>
          <w:sz w:val="24"/>
          <w:szCs w:val="24"/>
          <w:vertAlign w:val="subscript"/>
        </w:rPr>
        <w:t>maks</w:t>
      </w:r>
      <w:r w:rsidRPr="00542F65">
        <w:rPr>
          <w:rFonts w:ascii="Times New Roman" w:hAnsi="Times New Roman" w:cs="Times New Roman"/>
          <w:color w:val="0070C0"/>
          <w:spacing w:val="-6"/>
          <w:sz w:val="24"/>
          <w:szCs w:val="24"/>
        </w:rPr>
        <w:t xml:space="preserve"> değerleri, tavsiye edilen doz aralığının (25 mg-100 mg) üzerindeki dozlar ile orantılı olarak artar.</w:t>
      </w:r>
    </w:p>
    <w:p w:rsidR="007E41F3" w:rsidRPr="00542F65" w:rsidRDefault="007E41F3"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p>
    <w:p w:rsidR="00F94479" w:rsidRPr="00542F65" w:rsidRDefault="0086204F"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Sildenafil yemekle alındığında, absorbsiyon oranı, T</w:t>
      </w:r>
      <w:r w:rsidRPr="00542F65">
        <w:rPr>
          <w:rFonts w:ascii="Times New Roman" w:hAnsi="Times New Roman" w:cs="Times New Roman"/>
          <w:color w:val="0070C0"/>
          <w:spacing w:val="-6"/>
          <w:sz w:val="24"/>
          <w:szCs w:val="24"/>
          <w:vertAlign w:val="subscript"/>
        </w:rPr>
        <w:t>maks</w:t>
      </w:r>
      <w:r w:rsidRPr="00542F65">
        <w:rPr>
          <w:rFonts w:ascii="Times New Roman" w:hAnsi="Times New Roman" w:cs="Times New Roman"/>
          <w:color w:val="0070C0"/>
          <w:spacing w:val="-6"/>
          <w:sz w:val="24"/>
          <w:szCs w:val="24"/>
        </w:rPr>
        <w:t>'da ortalama olarak 60 dakikalık bir gecikme ve C</w:t>
      </w:r>
      <w:r w:rsidRPr="00542F65">
        <w:rPr>
          <w:rFonts w:ascii="Times New Roman" w:hAnsi="Times New Roman" w:cs="Times New Roman"/>
          <w:color w:val="0070C0"/>
          <w:spacing w:val="-6"/>
          <w:sz w:val="24"/>
          <w:szCs w:val="24"/>
          <w:vertAlign w:val="subscript"/>
        </w:rPr>
        <w:t>maks</w:t>
      </w:r>
      <w:r w:rsidRPr="00542F65">
        <w:rPr>
          <w:rFonts w:ascii="Times New Roman" w:hAnsi="Times New Roman" w:cs="Times New Roman"/>
          <w:color w:val="0070C0"/>
          <w:spacing w:val="-6"/>
          <w:sz w:val="24"/>
          <w:szCs w:val="24"/>
        </w:rPr>
        <w:t xml:space="preserve">'da ortalama %29'luk bir azalma ile düşer. </w:t>
      </w:r>
    </w:p>
    <w:p w:rsidR="007D4AA8" w:rsidRPr="00542F65" w:rsidRDefault="007D4AA8"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p>
    <w:p w:rsidR="0086204F" w:rsidRPr="00542F65" w:rsidRDefault="0086204F" w:rsidP="00A935F8">
      <w:pPr>
        <w:shd w:val="clear" w:color="auto" w:fill="FFFFFF"/>
        <w:spacing w:line="360" w:lineRule="auto"/>
        <w:ind w:right="53"/>
        <w:contextualSpacing/>
        <w:jc w:val="both"/>
        <w:rPr>
          <w:rFonts w:ascii="Times New Roman" w:hAnsi="Times New Roman" w:cs="Times New Roman"/>
          <w:color w:val="0070C0"/>
          <w:spacing w:val="-6"/>
          <w:sz w:val="24"/>
          <w:szCs w:val="24"/>
          <w:u w:val="single"/>
        </w:rPr>
      </w:pPr>
      <w:r w:rsidRPr="00542F65">
        <w:rPr>
          <w:rFonts w:ascii="Times New Roman" w:hAnsi="Times New Roman" w:cs="Times New Roman"/>
          <w:color w:val="0070C0"/>
          <w:spacing w:val="-6"/>
          <w:sz w:val="24"/>
          <w:szCs w:val="24"/>
          <w:u w:val="single"/>
        </w:rPr>
        <w:t>Dağılım</w:t>
      </w:r>
    </w:p>
    <w:p w:rsidR="009C1899" w:rsidRPr="00542F65" w:rsidRDefault="0086204F"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 xml:space="preserve">Sildenafilin dağılıma ait ortalama kararlı durum hacmi 105 L'dir ve bu dokulara dağıldığını gösterir. </w:t>
      </w:r>
      <w:r w:rsidR="009C1899" w:rsidRPr="00542F65">
        <w:rPr>
          <w:rFonts w:ascii="Times New Roman" w:hAnsi="Times New Roman" w:cs="Times New Roman"/>
          <w:color w:val="0070C0"/>
          <w:spacing w:val="-6"/>
          <w:sz w:val="24"/>
          <w:szCs w:val="24"/>
        </w:rPr>
        <w:t xml:space="preserve">100 mg’lık tek bir oral dozu takiben, sildenafilin ortalama maksimum toplam plazma konsantrasyonu 440 ng/mL’dir (CV %40). Sildenafil (ve dolaşımdaki majör N-desmetil metaboliti) %96 oranında plazma proteinlerine bağlandığından, bu durum sildenafilin 18 ng/mL(38 nM)’lik ortalama maksimum serbest plazma konsantrasyonuna yol açar. Proteinlere bağlanma total ilaç konsantrasyonundan bağımsızdır. </w:t>
      </w:r>
    </w:p>
    <w:p w:rsidR="009C1899" w:rsidRPr="00542F65" w:rsidRDefault="009C1899"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p>
    <w:p w:rsidR="0086204F" w:rsidRPr="00542F65" w:rsidRDefault="0086204F"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100 mg tek doz sildenafil alan sağlıklı hastalarda, dozu takip eden 90. dakikada ejakülattaki ilaç dozu uygulanan mevcut dozun %0.0002'sinden azdır (ortalama 188 ng)</w:t>
      </w:r>
      <w:r w:rsidR="00F94479" w:rsidRPr="00542F65">
        <w:rPr>
          <w:rFonts w:ascii="Times New Roman" w:hAnsi="Times New Roman" w:cs="Times New Roman"/>
          <w:color w:val="0070C0"/>
          <w:spacing w:val="-6"/>
          <w:sz w:val="24"/>
          <w:szCs w:val="24"/>
        </w:rPr>
        <w:t>.</w:t>
      </w:r>
    </w:p>
    <w:p w:rsidR="00F94479" w:rsidRPr="00542F65" w:rsidRDefault="00F94479" w:rsidP="00A935F8">
      <w:pPr>
        <w:shd w:val="clear" w:color="auto" w:fill="FFFFFF"/>
        <w:spacing w:line="360" w:lineRule="auto"/>
        <w:ind w:right="51"/>
        <w:contextualSpacing/>
        <w:jc w:val="both"/>
        <w:rPr>
          <w:rFonts w:ascii="Times New Roman" w:hAnsi="Times New Roman" w:cs="Times New Roman"/>
          <w:color w:val="0070C0"/>
          <w:spacing w:val="-6"/>
          <w:sz w:val="24"/>
          <w:szCs w:val="24"/>
        </w:rPr>
      </w:pPr>
    </w:p>
    <w:p w:rsidR="0086204F" w:rsidRPr="00542F65" w:rsidRDefault="0086204F" w:rsidP="00A935F8">
      <w:pPr>
        <w:shd w:val="clear" w:color="auto" w:fill="FFFFFF"/>
        <w:spacing w:line="360" w:lineRule="auto"/>
        <w:ind w:right="53"/>
        <w:contextualSpacing/>
        <w:jc w:val="both"/>
        <w:rPr>
          <w:rFonts w:ascii="Times New Roman" w:hAnsi="Times New Roman" w:cs="Times New Roman"/>
          <w:color w:val="0070C0"/>
          <w:spacing w:val="-6"/>
          <w:sz w:val="24"/>
          <w:szCs w:val="24"/>
          <w:u w:val="single"/>
        </w:rPr>
      </w:pPr>
      <w:r w:rsidRPr="00542F65">
        <w:rPr>
          <w:rFonts w:ascii="Times New Roman" w:hAnsi="Times New Roman" w:cs="Times New Roman"/>
          <w:color w:val="0070C0"/>
          <w:spacing w:val="-6"/>
          <w:sz w:val="24"/>
          <w:szCs w:val="24"/>
          <w:u w:val="single"/>
        </w:rPr>
        <w:t>Biyotransformasyon</w:t>
      </w:r>
    </w:p>
    <w:p w:rsidR="00F94479" w:rsidRPr="00542F65" w:rsidRDefault="0086204F" w:rsidP="009C1899">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 xml:space="preserve">Sildenafil özellikle CYP3A4 (majör yol) ve CYP2C9 (minör yol) karaciğer mikrozomal enzimleri ile metabolize edilir. </w:t>
      </w:r>
      <w:r w:rsidR="009C1899" w:rsidRPr="00542F65">
        <w:rPr>
          <w:rFonts w:ascii="Times New Roman" w:hAnsi="Times New Roman" w:cs="Times New Roman"/>
          <w:color w:val="0070C0"/>
          <w:spacing w:val="-6"/>
          <w:sz w:val="24"/>
          <w:szCs w:val="24"/>
        </w:rPr>
        <w:t>Dolaşımdaki majör metabolit sildenafilin N-demetilasyonu ile oluşur. Bu metabolit sildenafile benzer bir fosfodiesteraz seçicilik profiline sahiptir ve PDE5 için in vitro potensi ana ilacın yaklaşık %50’si kadardır. Sildenafil, N-demetilasyon yolu ile dolaşımdaki majör metabolitine dönüşür. Bu metabolitin plazma konsantrasyonları sildenafil için gözlenenin yaklaşık %40'ıdır. N-desmetil metaboliti de yaklaşık 4 saatlik bir terminal yarı ömür ile metabolize olur.</w:t>
      </w:r>
    </w:p>
    <w:p w:rsidR="009C1899" w:rsidRPr="00542F65" w:rsidRDefault="009C1899" w:rsidP="009C1899">
      <w:pPr>
        <w:shd w:val="clear" w:color="auto" w:fill="FFFFFF"/>
        <w:spacing w:line="360" w:lineRule="auto"/>
        <w:ind w:right="53"/>
        <w:contextualSpacing/>
        <w:jc w:val="both"/>
        <w:rPr>
          <w:rFonts w:ascii="Times New Roman" w:hAnsi="Times New Roman" w:cs="Times New Roman"/>
          <w:color w:val="0070C0"/>
          <w:spacing w:val="-6"/>
          <w:sz w:val="24"/>
          <w:szCs w:val="24"/>
        </w:rPr>
      </w:pPr>
    </w:p>
    <w:p w:rsidR="0086204F" w:rsidRPr="00542F65" w:rsidRDefault="0086204F" w:rsidP="00A935F8">
      <w:pPr>
        <w:shd w:val="clear" w:color="auto" w:fill="FFFFFF"/>
        <w:spacing w:line="360" w:lineRule="auto"/>
        <w:ind w:right="53"/>
        <w:contextualSpacing/>
        <w:jc w:val="both"/>
        <w:rPr>
          <w:rFonts w:ascii="Times New Roman" w:hAnsi="Times New Roman" w:cs="Times New Roman"/>
          <w:color w:val="0070C0"/>
          <w:spacing w:val="-6"/>
          <w:sz w:val="24"/>
          <w:szCs w:val="24"/>
          <w:u w:val="single"/>
        </w:rPr>
      </w:pPr>
      <w:r w:rsidRPr="00542F65">
        <w:rPr>
          <w:rFonts w:ascii="Times New Roman" w:hAnsi="Times New Roman" w:cs="Times New Roman"/>
          <w:color w:val="0070C0"/>
          <w:spacing w:val="-6"/>
          <w:sz w:val="24"/>
          <w:szCs w:val="24"/>
          <w:u w:val="single"/>
        </w:rPr>
        <w:t>Eliminasyon</w:t>
      </w:r>
    </w:p>
    <w:p w:rsidR="00F94479" w:rsidRPr="00542F65" w:rsidRDefault="009C1899" w:rsidP="00A935F8">
      <w:pPr>
        <w:shd w:val="clear" w:color="auto" w:fill="FFFFFF"/>
        <w:spacing w:line="360" w:lineRule="auto"/>
        <w:ind w:right="51"/>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Sildenafilin 3-5 saatlik terminal faz yarılanma ömrünün bileşkesi olarak vücut klerensi 41 L/saattir. Oral veya i.v. uygulanan sildenafil ağırlıklı olarak metabolitleri halinde feçes ile (uygulanan oral dozun yaklaşık %80'i) ve daha az bir miktarda idrar ile (uygulanan oral dozun yaklaşık % 13'ü) atılır.</w:t>
      </w:r>
    </w:p>
    <w:p w:rsidR="009C1899" w:rsidRPr="00542F65" w:rsidRDefault="009C1899" w:rsidP="00A935F8">
      <w:pPr>
        <w:shd w:val="clear" w:color="auto" w:fill="FFFFFF"/>
        <w:spacing w:line="360" w:lineRule="auto"/>
        <w:ind w:right="51"/>
        <w:contextualSpacing/>
        <w:jc w:val="both"/>
        <w:rPr>
          <w:rFonts w:ascii="Times New Roman" w:hAnsi="Times New Roman" w:cs="Times New Roman"/>
          <w:color w:val="0070C0"/>
          <w:spacing w:val="-6"/>
          <w:sz w:val="24"/>
          <w:szCs w:val="24"/>
        </w:rPr>
      </w:pPr>
    </w:p>
    <w:p w:rsidR="0086204F" w:rsidRPr="00542F65" w:rsidRDefault="0086204F" w:rsidP="00A935F8">
      <w:pPr>
        <w:shd w:val="clear" w:color="auto" w:fill="FFFFFF"/>
        <w:spacing w:line="360" w:lineRule="auto"/>
        <w:ind w:right="53"/>
        <w:contextualSpacing/>
        <w:jc w:val="both"/>
        <w:rPr>
          <w:rFonts w:ascii="Times New Roman" w:hAnsi="Times New Roman" w:cs="Times New Roman"/>
          <w:color w:val="0070C0"/>
          <w:spacing w:val="-6"/>
          <w:sz w:val="24"/>
          <w:szCs w:val="24"/>
          <w:u w:val="single"/>
        </w:rPr>
      </w:pPr>
      <w:r w:rsidRPr="00542F65">
        <w:rPr>
          <w:rFonts w:ascii="Times New Roman" w:hAnsi="Times New Roman" w:cs="Times New Roman"/>
          <w:color w:val="0070C0"/>
          <w:spacing w:val="-6"/>
          <w:sz w:val="24"/>
          <w:szCs w:val="24"/>
          <w:u w:val="single"/>
        </w:rPr>
        <w:t>Doğrusallık/Doğrusal Olmayan Durum</w:t>
      </w:r>
    </w:p>
    <w:p w:rsidR="000F78E6" w:rsidRPr="00542F65" w:rsidRDefault="0086204F"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 xml:space="preserve">Önerilen doz aralığında </w:t>
      </w:r>
      <w:r w:rsidR="00D1655A" w:rsidRPr="00542F65">
        <w:rPr>
          <w:rFonts w:ascii="Times New Roman" w:hAnsi="Times New Roman" w:cs="Times New Roman"/>
          <w:color w:val="0070C0"/>
          <w:spacing w:val="-6"/>
          <w:sz w:val="24"/>
          <w:szCs w:val="24"/>
        </w:rPr>
        <w:t>DEGRA</w:t>
      </w:r>
      <w:r w:rsidRPr="00542F65">
        <w:rPr>
          <w:rFonts w:ascii="Times New Roman" w:hAnsi="Times New Roman" w:cs="Times New Roman"/>
          <w:color w:val="0070C0"/>
          <w:spacing w:val="-6"/>
          <w:sz w:val="24"/>
          <w:szCs w:val="24"/>
        </w:rPr>
        <w:t>'nın farmakokinetiği doz ile orantılıdır</w:t>
      </w:r>
      <w:r w:rsidR="00F94479" w:rsidRPr="00542F65">
        <w:rPr>
          <w:rFonts w:ascii="Times New Roman" w:hAnsi="Times New Roman" w:cs="Times New Roman"/>
          <w:color w:val="0070C0"/>
          <w:spacing w:val="-6"/>
          <w:sz w:val="24"/>
          <w:szCs w:val="24"/>
        </w:rPr>
        <w:t>.</w:t>
      </w:r>
    </w:p>
    <w:p w:rsidR="00F94479" w:rsidRPr="00542F65" w:rsidRDefault="00F94479" w:rsidP="00A935F8">
      <w:pPr>
        <w:shd w:val="clear" w:color="auto" w:fill="FFFFFF"/>
        <w:spacing w:line="360" w:lineRule="auto"/>
        <w:ind w:right="51"/>
        <w:contextualSpacing/>
        <w:jc w:val="both"/>
        <w:rPr>
          <w:rFonts w:ascii="Times New Roman" w:hAnsi="Times New Roman" w:cs="Times New Roman"/>
          <w:color w:val="0070C0"/>
          <w:spacing w:val="-6"/>
          <w:sz w:val="24"/>
          <w:szCs w:val="24"/>
        </w:rPr>
      </w:pPr>
    </w:p>
    <w:p w:rsidR="00F94479" w:rsidRPr="00542F65" w:rsidRDefault="00F94479" w:rsidP="00A935F8">
      <w:pPr>
        <w:shd w:val="clear" w:color="auto" w:fill="FFFFFF"/>
        <w:spacing w:line="360" w:lineRule="auto"/>
        <w:ind w:right="53"/>
        <w:contextualSpacing/>
        <w:jc w:val="both"/>
        <w:rPr>
          <w:rFonts w:ascii="Times New Roman" w:hAnsi="Times New Roman" w:cs="Times New Roman"/>
          <w:color w:val="0070C0"/>
          <w:spacing w:val="-6"/>
          <w:sz w:val="24"/>
          <w:szCs w:val="24"/>
          <w:u w:val="single"/>
        </w:rPr>
      </w:pPr>
      <w:r w:rsidRPr="00542F65">
        <w:rPr>
          <w:rFonts w:ascii="Times New Roman" w:hAnsi="Times New Roman" w:cs="Times New Roman"/>
          <w:color w:val="0070C0"/>
          <w:spacing w:val="-6"/>
          <w:sz w:val="24"/>
          <w:szCs w:val="24"/>
          <w:u w:val="single"/>
        </w:rPr>
        <w:t>Özel Hasta Gruplarındaki Farmakokinetik</w:t>
      </w:r>
    </w:p>
    <w:p w:rsidR="00F94479" w:rsidRPr="00542F65" w:rsidRDefault="00F94479" w:rsidP="00A935F8">
      <w:pPr>
        <w:shd w:val="clear" w:color="auto" w:fill="FFFFFF"/>
        <w:spacing w:line="360" w:lineRule="auto"/>
        <w:ind w:right="53"/>
        <w:contextualSpacing/>
        <w:jc w:val="both"/>
        <w:rPr>
          <w:rFonts w:ascii="Times New Roman" w:hAnsi="Times New Roman" w:cs="Times New Roman"/>
          <w:color w:val="0070C0"/>
          <w:spacing w:val="-6"/>
          <w:sz w:val="24"/>
          <w:szCs w:val="24"/>
          <w:u w:val="single"/>
        </w:rPr>
      </w:pPr>
      <w:r w:rsidRPr="00542F65">
        <w:rPr>
          <w:rFonts w:ascii="Times New Roman" w:hAnsi="Times New Roman" w:cs="Times New Roman"/>
          <w:color w:val="0070C0"/>
          <w:spacing w:val="-6"/>
          <w:sz w:val="24"/>
          <w:szCs w:val="24"/>
          <w:u w:val="single"/>
        </w:rPr>
        <w:t>Yaşlılarda</w:t>
      </w:r>
    </w:p>
    <w:p w:rsidR="00F94479" w:rsidRPr="00542F65" w:rsidRDefault="00F94479"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65 yaş ve üstü sağlıklı gönüllülerde sildenafil klerensi azalmıştır, bunun sonucunda sildenafil ve aktif N-</w:t>
      </w:r>
      <w:r w:rsidRPr="00542F65">
        <w:rPr>
          <w:rFonts w:ascii="Times New Roman" w:hAnsi="Times New Roman" w:cs="Times New Roman"/>
          <w:color w:val="0070C0"/>
          <w:spacing w:val="-6"/>
          <w:sz w:val="24"/>
          <w:szCs w:val="24"/>
        </w:rPr>
        <w:lastRenderedPageBreak/>
        <w:t xml:space="preserve">demetil metabolitinin plasma konsantrasyonları daha genç (18-45 yaş) gönüllülerde görülene göre yaklaşık %90 artmıştır. Plazma proteinine bağlanmadaki yaş farklılıklarına bağlı olarak serbest sildenafil plazma konsantrasyonları yaklaşık %40 artmıştır. </w:t>
      </w:r>
    </w:p>
    <w:p w:rsidR="007E41F3" w:rsidRPr="00542F65" w:rsidRDefault="007E41F3" w:rsidP="00A935F8">
      <w:pPr>
        <w:shd w:val="clear" w:color="auto" w:fill="FFFFFF"/>
        <w:spacing w:line="360" w:lineRule="auto"/>
        <w:ind w:right="51"/>
        <w:contextualSpacing/>
        <w:jc w:val="both"/>
        <w:rPr>
          <w:rFonts w:ascii="Times New Roman" w:hAnsi="Times New Roman" w:cs="Times New Roman"/>
          <w:color w:val="0070C0"/>
          <w:spacing w:val="-6"/>
          <w:sz w:val="24"/>
          <w:szCs w:val="24"/>
        </w:rPr>
      </w:pPr>
    </w:p>
    <w:p w:rsidR="00F94479" w:rsidRPr="00542F65" w:rsidRDefault="00F94479" w:rsidP="00A935F8">
      <w:pPr>
        <w:shd w:val="clear" w:color="auto" w:fill="FFFFFF"/>
        <w:spacing w:line="360" w:lineRule="auto"/>
        <w:ind w:right="53"/>
        <w:contextualSpacing/>
        <w:jc w:val="both"/>
        <w:rPr>
          <w:rFonts w:ascii="Times New Roman" w:hAnsi="Times New Roman" w:cs="Times New Roman"/>
          <w:color w:val="0070C0"/>
          <w:spacing w:val="-6"/>
          <w:sz w:val="24"/>
          <w:szCs w:val="24"/>
          <w:u w:val="single"/>
        </w:rPr>
      </w:pPr>
      <w:r w:rsidRPr="00542F65">
        <w:rPr>
          <w:rFonts w:ascii="Times New Roman" w:hAnsi="Times New Roman" w:cs="Times New Roman"/>
          <w:color w:val="0070C0"/>
          <w:spacing w:val="-6"/>
          <w:sz w:val="24"/>
          <w:szCs w:val="24"/>
          <w:u w:val="single"/>
        </w:rPr>
        <w:t>Böbrek Yetmezliği</w:t>
      </w:r>
    </w:p>
    <w:p w:rsidR="004B5594" w:rsidRPr="00542F65" w:rsidRDefault="004B5594"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Hafif ila orta derece (kreatinin klerensi = 30-80 ml/dak.) böbrek fonksiyon bozukluğu olan gönüllülerde 50 mg oral tek doz sildenafil uygulaması farmakokinetiğini değiştirmemiştir. Aynı yaş grubunda hiçbir böbrek rahatsızlığı olmayan gönüllüler ile karşılaştırıldığında, N-demetil metabolitinin ortalama eğri altı alanı (EAA) yaklaşık % 126 ve ortalama C</w:t>
      </w:r>
      <w:r w:rsidRPr="00542F65">
        <w:rPr>
          <w:rFonts w:ascii="Times New Roman" w:hAnsi="Times New Roman" w:cs="Times New Roman"/>
          <w:color w:val="0070C0"/>
          <w:spacing w:val="-6"/>
          <w:sz w:val="24"/>
          <w:szCs w:val="24"/>
          <w:vertAlign w:val="subscript"/>
        </w:rPr>
        <w:t>maks</w:t>
      </w:r>
      <w:r w:rsidRPr="00542F65">
        <w:rPr>
          <w:rFonts w:ascii="Times New Roman" w:hAnsi="Times New Roman" w:cs="Times New Roman"/>
          <w:color w:val="0070C0"/>
          <w:spacing w:val="-6"/>
          <w:sz w:val="24"/>
          <w:szCs w:val="24"/>
        </w:rPr>
        <w:t xml:space="preserve">’ı yaklaşık % 73 artmıştır. Ancak bireyler arası değişkenliğin yüksek olması sebebi ile bu değişiklikler istatistiksel olarak anlamlı olmamıştır. </w:t>
      </w:r>
    </w:p>
    <w:p w:rsidR="005610F2" w:rsidRPr="00542F65" w:rsidRDefault="005610F2"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p>
    <w:p w:rsidR="00F94479" w:rsidRPr="00542F65" w:rsidRDefault="00F94479" w:rsidP="007F3942">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Şiddetli (kreatinin klerensi&lt; 30 ml/dak.) böbrek fonksiyon bozukluğu olan gönüllülerde sildenafil klerensi azalmıştır. Aynı yaş grubunda hiçbir böbrek rahatsızlığı olmayan gönüllüler ile karşılaştırıldığında, bu azalma sebebi ile EAA'da ortalama %100 ve C</w:t>
      </w:r>
      <w:r w:rsidRPr="00542F65">
        <w:rPr>
          <w:rFonts w:ascii="Times New Roman" w:hAnsi="Times New Roman" w:cs="Times New Roman"/>
          <w:color w:val="0070C0"/>
          <w:spacing w:val="-6"/>
          <w:sz w:val="24"/>
          <w:szCs w:val="24"/>
          <w:vertAlign w:val="subscript"/>
        </w:rPr>
        <w:t>maks</w:t>
      </w:r>
      <w:r w:rsidRPr="00542F65">
        <w:rPr>
          <w:rFonts w:ascii="Times New Roman" w:hAnsi="Times New Roman" w:cs="Times New Roman"/>
          <w:color w:val="0070C0"/>
          <w:spacing w:val="-6"/>
          <w:sz w:val="24"/>
          <w:szCs w:val="24"/>
        </w:rPr>
        <w:t xml:space="preserve">'da ortalama %88'lik bir artış olmuştur. </w:t>
      </w:r>
      <w:r w:rsidR="007F3942" w:rsidRPr="00542F65">
        <w:rPr>
          <w:rFonts w:ascii="Times New Roman" w:hAnsi="Times New Roman" w:cs="Times New Roman"/>
          <w:color w:val="0070C0"/>
          <w:spacing w:val="-6"/>
          <w:sz w:val="24"/>
          <w:szCs w:val="24"/>
        </w:rPr>
        <w:t>Buna ek olarak N-desmetil metabolitinin EAA’ı ve C</w:t>
      </w:r>
      <w:r w:rsidR="007F3942" w:rsidRPr="00542F65">
        <w:rPr>
          <w:rFonts w:ascii="Times New Roman" w:hAnsi="Times New Roman" w:cs="Times New Roman"/>
          <w:color w:val="0070C0"/>
          <w:spacing w:val="-6"/>
          <w:sz w:val="24"/>
          <w:szCs w:val="24"/>
          <w:vertAlign w:val="subscript"/>
        </w:rPr>
        <w:t>maks</w:t>
      </w:r>
      <w:r w:rsidR="007F3942" w:rsidRPr="00542F65">
        <w:rPr>
          <w:rFonts w:ascii="Times New Roman" w:hAnsi="Times New Roman" w:cs="Times New Roman"/>
          <w:color w:val="0070C0"/>
          <w:spacing w:val="-6"/>
          <w:sz w:val="24"/>
          <w:szCs w:val="24"/>
        </w:rPr>
        <w:t>’ı sırası ile %79 ve %200 artmıştır ki bu anlamlı bir artıştır.</w:t>
      </w:r>
    </w:p>
    <w:p w:rsidR="007F3942" w:rsidRPr="00542F65" w:rsidRDefault="007F3942" w:rsidP="007F3942">
      <w:pPr>
        <w:shd w:val="clear" w:color="auto" w:fill="FFFFFF"/>
        <w:spacing w:line="360" w:lineRule="auto"/>
        <w:ind w:right="53"/>
        <w:contextualSpacing/>
        <w:jc w:val="both"/>
        <w:rPr>
          <w:rFonts w:ascii="Times New Roman" w:hAnsi="Times New Roman" w:cs="Times New Roman"/>
          <w:color w:val="0070C0"/>
          <w:spacing w:val="-6"/>
          <w:sz w:val="24"/>
          <w:szCs w:val="24"/>
          <w:u w:val="single"/>
        </w:rPr>
      </w:pPr>
    </w:p>
    <w:p w:rsidR="00F94479" w:rsidRPr="00542F65" w:rsidRDefault="00F94479" w:rsidP="00A935F8">
      <w:pPr>
        <w:shd w:val="clear" w:color="auto" w:fill="FFFFFF"/>
        <w:spacing w:line="360" w:lineRule="auto"/>
        <w:ind w:right="53"/>
        <w:contextualSpacing/>
        <w:jc w:val="both"/>
        <w:rPr>
          <w:rFonts w:ascii="Times New Roman" w:hAnsi="Times New Roman" w:cs="Times New Roman"/>
          <w:color w:val="0070C0"/>
          <w:spacing w:val="-6"/>
          <w:sz w:val="24"/>
          <w:szCs w:val="24"/>
          <w:u w:val="single"/>
        </w:rPr>
      </w:pPr>
      <w:r w:rsidRPr="00542F65">
        <w:rPr>
          <w:rFonts w:ascii="Times New Roman" w:hAnsi="Times New Roman" w:cs="Times New Roman"/>
          <w:color w:val="0070C0"/>
          <w:spacing w:val="-6"/>
          <w:sz w:val="24"/>
          <w:szCs w:val="24"/>
          <w:u w:val="single"/>
        </w:rPr>
        <w:t>Karaciğer Yetmezliği</w:t>
      </w:r>
    </w:p>
    <w:p w:rsidR="00F94479" w:rsidRPr="00542F65" w:rsidRDefault="00F94479" w:rsidP="00A935F8">
      <w:pPr>
        <w:shd w:val="clear" w:color="auto" w:fill="FFFFFF"/>
        <w:spacing w:line="360" w:lineRule="auto"/>
        <w:ind w:right="53"/>
        <w:contextualSpacing/>
        <w:jc w:val="both"/>
        <w:rPr>
          <w:rFonts w:ascii="Times New Roman" w:hAnsi="Times New Roman" w:cs="Times New Roman"/>
          <w:color w:val="0070C0"/>
          <w:spacing w:val="-6"/>
          <w:sz w:val="24"/>
          <w:szCs w:val="24"/>
        </w:rPr>
      </w:pPr>
      <w:r w:rsidRPr="00542F65">
        <w:rPr>
          <w:rFonts w:ascii="Times New Roman" w:hAnsi="Times New Roman" w:cs="Times New Roman"/>
          <w:color w:val="0070C0"/>
          <w:spacing w:val="-6"/>
          <w:sz w:val="24"/>
          <w:szCs w:val="24"/>
        </w:rPr>
        <w:t>Aynı yaş grubunda bulunan hiçbir karaciğer rahatsızlığı olmayan gönüllüler ile karşılaştırıldığında, hafif ve orta şiddette karac</w:t>
      </w:r>
      <w:r w:rsidR="007F3942" w:rsidRPr="00542F65">
        <w:rPr>
          <w:rFonts w:ascii="Times New Roman" w:hAnsi="Times New Roman" w:cs="Times New Roman"/>
          <w:color w:val="0070C0"/>
          <w:spacing w:val="-6"/>
          <w:sz w:val="24"/>
          <w:szCs w:val="24"/>
        </w:rPr>
        <w:t>iğer sirozu (Child- Pugh A ve B</w:t>
      </w:r>
      <w:r w:rsidRPr="00542F65">
        <w:rPr>
          <w:rFonts w:ascii="Times New Roman" w:hAnsi="Times New Roman" w:cs="Times New Roman"/>
          <w:color w:val="0070C0"/>
          <w:spacing w:val="-6"/>
          <w:sz w:val="24"/>
          <w:szCs w:val="24"/>
        </w:rPr>
        <w:t>) olan gönüllülerde sildenafil klerensi düşmüştür. Bu azalma EAA'da %84 ve C</w:t>
      </w:r>
      <w:r w:rsidRPr="00542F65">
        <w:rPr>
          <w:rFonts w:ascii="Times New Roman" w:hAnsi="Times New Roman" w:cs="Times New Roman"/>
          <w:color w:val="0070C0"/>
          <w:spacing w:val="-6"/>
          <w:sz w:val="24"/>
          <w:szCs w:val="24"/>
          <w:vertAlign w:val="subscript"/>
        </w:rPr>
        <w:t>maks</w:t>
      </w:r>
      <w:r w:rsidRPr="00542F65">
        <w:rPr>
          <w:rFonts w:ascii="Times New Roman" w:hAnsi="Times New Roman" w:cs="Times New Roman"/>
          <w:color w:val="0070C0"/>
          <w:spacing w:val="-6"/>
          <w:sz w:val="24"/>
          <w:szCs w:val="24"/>
        </w:rPr>
        <w:t>'da %47'lik bir yükselme ile sonuçlanmıştır. Ağır karaciğer fonksiyonu olan hastalarda, sildenafilin farmakokinetiği çalışılmamıştır.</w:t>
      </w:r>
    </w:p>
    <w:p w:rsidR="00F94479" w:rsidRPr="0086204F" w:rsidRDefault="00F94479" w:rsidP="00A935F8">
      <w:pPr>
        <w:shd w:val="clear" w:color="auto" w:fill="FFFFFF"/>
        <w:spacing w:line="360" w:lineRule="auto"/>
        <w:ind w:right="51"/>
        <w:contextualSpacing/>
        <w:jc w:val="both"/>
        <w:rPr>
          <w:rFonts w:ascii="Times New Roman" w:hAnsi="Times New Roman" w:cs="Times New Roman"/>
          <w:color w:val="000000"/>
          <w:spacing w:val="-6"/>
          <w:sz w:val="24"/>
          <w:szCs w:val="24"/>
        </w:rPr>
      </w:pPr>
    </w:p>
    <w:p w:rsidR="00E16420" w:rsidRPr="00D43C0D" w:rsidRDefault="00E16420" w:rsidP="00A935F8">
      <w:pPr>
        <w:shd w:val="clear" w:color="auto" w:fill="FFFFFF"/>
        <w:spacing w:line="360" w:lineRule="auto"/>
        <w:ind w:right="53"/>
        <w:contextualSpacing/>
        <w:jc w:val="both"/>
        <w:rPr>
          <w:rFonts w:ascii="Times New Roman" w:hAnsi="Times New Roman" w:cs="Times New Roman"/>
          <w:b/>
          <w:color w:val="000000"/>
          <w:spacing w:val="-4"/>
          <w:sz w:val="24"/>
          <w:szCs w:val="24"/>
        </w:rPr>
      </w:pPr>
      <w:r w:rsidRPr="00D43C0D">
        <w:rPr>
          <w:rFonts w:ascii="Times New Roman" w:hAnsi="Times New Roman" w:cs="Times New Roman"/>
          <w:b/>
          <w:color w:val="000000"/>
          <w:spacing w:val="-4"/>
          <w:sz w:val="24"/>
          <w:szCs w:val="24"/>
        </w:rPr>
        <w:t>5.3.</w:t>
      </w:r>
      <w:r w:rsidR="00331B2E" w:rsidRPr="00D43C0D">
        <w:rPr>
          <w:rFonts w:ascii="Times New Roman" w:hAnsi="Times New Roman" w:cs="Times New Roman"/>
          <w:b/>
          <w:color w:val="000000"/>
          <w:spacing w:val="-4"/>
          <w:sz w:val="24"/>
          <w:szCs w:val="24"/>
        </w:rPr>
        <w:t xml:space="preserve"> </w:t>
      </w:r>
      <w:r w:rsidRPr="00D43C0D">
        <w:rPr>
          <w:rFonts w:ascii="Times New Roman" w:hAnsi="Times New Roman" w:cs="Times New Roman"/>
          <w:b/>
          <w:color w:val="000000"/>
          <w:spacing w:val="-4"/>
          <w:sz w:val="24"/>
          <w:szCs w:val="24"/>
        </w:rPr>
        <w:t>Klinik öncesi güvenlilik verileri</w:t>
      </w:r>
    </w:p>
    <w:p w:rsidR="00F94479" w:rsidRPr="00542F65" w:rsidRDefault="00F94479" w:rsidP="00D85226">
      <w:pPr>
        <w:shd w:val="clear" w:color="auto" w:fill="FFFFFF"/>
        <w:spacing w:line="360" w:lineRule="auto"/>
        <w:ind w:right="53"/>
        <w:contextualSpacing/>
        <w:jc w:val="both"/>
        <w:rPr>
          <w:rFonts w:ascii="Times New Roman" w:hAnsi="Times New Roman" w:cs="Times New Roman"/>
          <w:color w:val="0070C0"/>
          <w:sz w:val="24"/>
          <w:szCs w:val="24"/>
        </w:rPr>
      </w:pPr>
      <w:r w:rsidRPr="00542F65">
        <w:rPr>
          <w:rFonts w:ascii="Times New Roman" w:hAnsi="Times New Roman" w:cs="Times New Roman"/>
          <w:color w:val="0070C0"/>
          <w:sz w:val="24"/>
          <w:szCs w:val="24"/>
        </w:rPr>
        <w:t xml:space="preserve">Yapılan konvansiyonel emniyet, farmakoloji, mükerrer doz toksisite, genotoksisite, karsinojenite ve üreme üzerine toksisite çalışmalarında elde edilen sonuçlara </w:t>
      </w:r>
      <w:r w:rsidR="00D85226" w:rsidRPr="00542F65">
        <w:rPr>
          <w:rFonts w:ascii="Times New Roman" w:hAnsi="Times New Roman" w:cs="Times New Roman"/>
          <w:color w:val="0070C0"/>
          <w:sz w:val="24"/>
          <w:szCs w:val="24"/>
        </w:rPr>
        <w:t>dayanan klinik dışı veriler insan için özel bir zarar belirtmemektedir.</w:t>
      </w:r>
    </w:p>
    <w:p w:rsidR="006C15DF" w:rsidRPr="004C4DF2" w:rsidRDefault="006C15DF" w:rsidP="00A935F8">
      <w:pPr>
        <w:shd w:val="clear" w:color="auto" w:fill="FFFFFF"/>
        <w:spacing w:line="360" w:lineRule="auto"/>
        <w:ind w:right="51"/>
        <w:contextualSpacing/>
        <w:jc w:val="both"/>
        <w:rPr>
          <w:rFonts w:ascii="Times New Roman" w:hAnsi="Times New Roman" w:cs="Times New Roman"/>
          <w:color w:val="000000"/>
          <w:sz w:val="24"/>
          <w:szCs w:val="24"/>
        </w:rPr>
      </w:pPr>
    </w:p>
    <w:p w:rsidR="00E16420" w:rsidRPr="004C4DF2" w:rsidRDefault="00E16420" w:rsidP="00A935F8">
      <w:pPr>
        <w:shd w:val="clear" w:color="auto" w:fill="FFFFFF"/>
        <w:spacing w:line="360" w:lineRule="auto"/>
        <w:ind w:right="53"/>
        <w:contextualSpacing/>
        <w:jc w:val="both"/>
        <w:rPr>
          <w:rFonts w:ascii="Times New Roman" w:hAnsi="Times New Roman" w:cs="Times New Roman"/>
          <w:sz w:val="24"/>
          <w:szCs w:val="24"/>
        </w:rPr>
      </w:pPr>
      <w:r w:rsidRPr="004C4DF2">
        <w:rPr>
          <w:rFonts w:ascii="Times New Roman" w:hAnsi="Times New Roman" w:cs="Times New Roman"/>
          <w:b/>
          <w:bCs/>
          <w:color w:val="000000"/>
          <w:spacing w:val="-29"/>
          <w:sz w:val="24"/>
          <w:szCs w:val="24"/>
        </w:rPr>
        <w:t>6.</w:t>
      </w:r>
      <w:r w:rsidR="000D1EE0">
        <w:rPr>
          <w:rFonts w:ascii="Times New Roman" w:hAnsi="Times New Roman" w:cs="Times New Roman"/>
          <w:b/>
          <w:bCs/>
          <w:color w:val="000000"/>
          <w:sz w:val="24"/>
          <w:szCs w:val="24"/>
        </w:rPr>
        <w:tab/>
        <w:t>FARMASÖTİK</w:t>
      </w:r>
      <w:r w:rsidRPr="004C4DF2">
        <w:rPr>
          <w:rFonts w:ascii="Times New Roman" w:hAnsi="Times New Roman" w:cs="Times New Roman"/>
          <w:b/>
          <w:bCs/>
          <w:color w:val="000000"/>
          <w:sz w:val="24"/>
          <w:szCs w:val="24"/>
        </w:rPr>
        <w:t xml:space="preserve"> ÖZELLİKLERİ</w:t>
      </w:r>
    </w:p>
    <w:p w:rsidR="00E16420" w:rsidRPr="00D43C0D" w:rsidRDefault="00E16420" w:rsidP="00A935F8">
      <w:pPr>
        <w:shd w:val="clear" w:color="auto" w:fill="FFFFFF"/>
        <w:spacing w:line="360" w:lineRule="auto"/>
        <w:ind w:right="53"/>
        <w:contextualSpacing/>
        <w:jc w:val="both"/>
        <w:rPr>
          <w:rFonts w:ascii="Times New Roman" w:hAnsi="Times New Roman" w:cs="Times New Roman"/>
          <w:b/>
          <w:color w:val="000000"/>
          <w:sz w:val="24"/>
          <w:szCs w:val="24"/>
        </w:rPr>
      </w:pPr>
      <w:r w:rsidRPr="00D43C0D">
        <w:rPr>
          <w:rFonts w:ascii="Times New Roman" w:hAnsi="Times New Roman" w:cs="Times New Roman"/>
          <w:b/>
          <w:color w:val="000000"/>
          <w:sz w:val="24"/>
          <w:szCs w:val="24"/>
        </w:rPr>
        <w:t>6.1.</w:t>
      </w:r>
      <w:r w:rsidRPr="00D43C0D">
        <w:rPr>
          <w:rFonts w:ascii="Times New Roman" w:hAnsi="Times New Roman" w:cs="Times New Roman"/>
          <w:b/>
          <w:color w:val="000000"/>
          <w:sz w:val="24"/>
          <w:szCs w:val="24"/>
        </w:rPr>
        <w:tab/>
        <w:t>Yardımcı maddelerin listesi</w:t>
      </w:r>
    </w:p>
    <w:p w:rsidR="00923D0A" w:rsidRPr="00D1655A" w:rsidRDefault="00923D0A"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t>Mikrokristalin selüloz</w:t>
      </w:r>
    </w:p>
    <w:p w:rsidR="00923D0A" w:rsidRPr="00D1655A" w:rsidRDefault="00923D0A"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t>Kalsiyum hidrojen fosfat, susuz</w:t>
      </w:r>
    </w:p>
    <w:p w:rsidR="00923D0A" w:rsidRPr="00D1655A" w:rsidRDefault="00923D0A"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t>Kroskarmeloz sodyum</w:t>
      </w:r>
    </w:p>
    <w:p w:rsidR="00923D0A" w:rsidRPr="00D1655A" w:rsidRDefault="00923D0A"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t>Magnezyum stearat</w:t>
      </w:r>
    </w:p>
    <w:p w:rsidR="00923D0A" w:rsidRPr="00D1655A" w:rsidRDefault="00923D0A"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t>Indigo karmin (E132)</w:t>
      </w:r>
    </w:p>
    <w:p w:rsidR="00923D0A" w:rsidRPr="00D1655A" w:rsidRDefault="00923D0A"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t xml:space="preserve">Hidroksipropil </w:t>
      </w:r>
      <w:r w:rsidR="002E46CB">
        <w:rPr>
          <w:rFonts w:ascii="Times New Roman" w:hAnsi="Times New Roman" w:cs="Times New Roman"/>
          <w:sz w:val="24"/>
          <w:szCs w:val="24"/>
        </w:rPr>
        <w:t>metil</w:t>
      </w:r>
      <w:r w:rsidRPr="00D1655A">
        <w:rPr>
          <w:rFonts w:ascii="Times New Roman" w:hAnsi="Times New Roman" w:cs="Times New Roman"/>
          <w:sz w:val="24"/>
          <w:szCs w:val="24"/>
        </w:rPr>
        <w:t>selüloz</w:t>
      </w:r>
    </w:p>
    <w:p w:rsidR="00923D0A" w:rsidRPr="00D1655A" w:rsidRDefault="00923D0A"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lastRenderedPageBreak/>
        <w:t>Laktoz monohidrat</w:t>
      </w:r>
    </w:p>
    <w:p w:rsidR="00923D0A" w:rsidRPr="00D1655A" w:rsidRDefault="00923D0A"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t>Titanyum dioksit (E171)</w:t>
      </w:r>
    </w:p>
    <w:p w:rsidR="00923D0A" w:rsidRPr="00D1655A" w:rsidRDefault="00923D0A"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t>Triasetin</w:t>
      </w:r>
    </w:p>
    <w:p w:rsidR="00923D0A" w:rsidRPr="008C68D2" w:rsidRDefault="00923D0A" w:rsidP="00A935F8">
      <w:pPr>
        <w:spacing w:line="360" w:lineRule="auto"/>
        <w:jc w:val="both"/>
        <w:rPr>
          <w:rFonts w:ascii="Times New Roman" w:hAnsi="Times New Roman" w:cs="Times New Roman"/>
          <w:sz w:val="24"/>
          <w:szCs w:val="24"/>
        </w:rPr>
      </w:pPr>
      <w:r w:rsidRPr="00D1655A">
        <w:rPr>
          <w:rFonts w:ascii="Times New Roman" w:hAnsi="Times New Roman" w:cs="Times New Roman"/>
          <w:sz w:val="24"/>
          <w:szCs w:val="24"/>
        </w:rPr>
        <w:t>Sarı demir oksit (E172)</w:t>
      </w:r>
    </w:p>
    <w:p w:rsidR="00C05469" w:rsidRPr="004C4DF2" w:rsidRDefault="00C05469" w:rsidP="00A935F8">
      <w:pPr>
        <w:shd w:val="clear" w:color="auto" w:fill="FFFFFF"/>
        <w:tabs>
          <w:tab w:val="left" w:pos="835"/>
        </w:tabs>
        <w:spacing w:line="360" w:lineRule="auto"/>
        <w:ind w:right="51"/>
        <w:contextualSpacing/>
        <w:jc w:val="both"/>
        <w:rPr>
          <w:rFonts w:ascii="Times New Roman" w:hAnsi="Times New Roman" w:cs="Times New Roman"/>
          <w:color w:val="000000"/>
          <w:sz w:val="24"/>
          <w:szCs w:val="24"/>
        </w:rPr>
      </w:pPr>
    </w:p>
    <w:p w:rsidR="00E16420" w:rsidRPr="00D43C0D" w:rsidRDefault="00E16420" w:rsidP="00A935F8">
      <w:pPr>
        <w:shd w:val="clear" w:color="auto" w:fill="FFFFFF"/>
        <w:spacing w:line="360" w:lineRule="auto"/>
        <w:ind w:right="53"/>
        <w:contextualSpacing/>
        <w:jc w:val="both"/>
        <w:rPr>
          <w:rFonts w:ascii="Times New Roman" w:hAnsi="Times New Roman" w:cs="Times New Roman"/>
          <w:b/>
          <w:color w:val="000000"/>
          <w:sz w:val="24"/>
          <w:szCs w:val="24"/>
        </w:rPr>
      </w:pPr>
      <w:r w:rsidRPr="00D43C0D">
        <w:rPr>
          <w:rFonts w:ascii="Times New Roman" w:hAnsi="Times New Roman" w:cs="Times New Roman"/>
          <w:b/>
          <w:color w:val="000000"/>
          <w:sz w:val="24"/>
          <w:szCs w:val="24"/>
        </w:rPr>
        <w:t>6.2.</w:t>
      </w:r>
      <w:r w:rsidR="00C05469" w:rsidRPr="00D43C0D">
        <w:rPr>
          <w:rFonts w:ascii="Times New Roman" w:hAnsi="Times New Roman" w:cs="Times New Roman"/>
          <w:b/>
          <w:color w:val="000000"/>
          <w:sz w:val="24"/>
          <w:szCs w:val="24"/>
        </w:rPr>
        <w:t xml:space="preserve"> </w:t>
      </w:r>
      <w:r w:rsidRPr="00D43C0D">
        <w:rPr>
          <w:rFonts w:ascii="Times New Roman" w:hAnsi="Times New Roman" w:cs="Times New Roman"/>
          <w:b/>
          <w:color w:val="000000"/>
          <w:sz w:val="24"/>
          <w:szCs w:val="24"/>
        </w:rPr>
        <w:t>Geçimsizlikler</w:t>
      </w:r>
    </w:p>
    <w:p w:rsidR="00C05469" w:rsidRPr="00D85226" w:rsidRDefault="00E16420" w:rsidP="00D85226">
      <w:pPr>
        <w:shd w:val="clear" w:color="auto" w:fill="FFFFFF"/>
        <w:spacing w:line="360" w:lineRule="auto"/>
        <w:ind w:right="53"/>
        <w:contextualSpacing/>
        <w:jc w:val="both"/>
        <w:rPr>
          <w:rFonts w:ascii="Times New Roman" w:hAnsi="Times New Roman" w:cs="Times New Roman"/>
          <w:color w:val="000000"/>
          <w:spacing w:val="-2"/>
          <w:sz w:val="24"/>
          <w:szCs w:val="24"/>
        </w:rPr>
      </w:pPr>
      <w:r w:rsidRPr="004C4DF2">
        <w:rPr>
          <w:rFonts w:ascii="Times New Roman" w:hAnsi="Times New Roman" w:cs="Times New Roman"/>
          <w:color w:val="000000"/>
          <w:spacing w:val="-2"/>
          <w:sz w:val="24"/>
          <w:szCs w:val="24"/>
        </w:rPr>
        <w:t>Bilinen bir geçimsizliği yoktur.</w:t>
      </w:r>
    </w:p>
    <w:p w:rsidR="00E16420" w:rsidRPr="00D43C0D" w:rsidRDefault="00E16420" w:rsidP="00A935F8">
      <w:pPr>
        <w:shd w:val="clear" w:color="auto" w:fill="FFFFFF"/>
        <w:spacing w:line="360" w:lineRule="auto"/>
        <w:ind w:right="53"/>
        <w:contextualSpacing/>
        <w:jc w:val="both"/>
        <w:rPr>
          <w:rFonts w:ascii="Times New Roman" w:hAnsi="Times New Roman" w:cs="Times New Roman"/>
          <w:b/>
          <w:color w:val="000000"/>
          <w:sz w:val="24"/>
          <w:szCs w:val="24"/>
        </w:rPr>
      </w:pPr>
      <w:r w:rsidRPr="00D43C0D">
        <w:rPr>
          <w:rFonts w:ascii="Times New Roman" w:hAnsi="Times New Roman" w:cs="Times New Roman"/>
          <w:b/>
          <w:color w:val="000000"/>
          <w:sz w:val="24"/>
          <w:szCs w:val="24"/>
        </w:rPr>
        <w:t>6.3.</w:t>
      </w:r>
      <w:r w:rsidR="00C05469" w:rsidRPr="00D43C0D">
        <w:rPr>
          <w:rFonts w:ascii="Times New Roman" w:hAnsi="Times New Roman" w:cs="Times New Roman"/>
          <w:b/>
          <w:color w:val="000000"/>
          <w:sz w:val="24"/>
          <w:szCs w:val="24"/>
        </w:rPr>
        <w:t xml:space="preserve"> </w:t>
      </w:r>
      <w:r w:rsidRPr="00D43C0D">
        <w:rPr>
          <w:rFonts w:ascii="Times New Roman" w:hAnsi="Times New Roman" w:cs="Times New Roman"/>
          <w:b/>
          <w:color w:val="000000"/>
          <w:sz w:val="24"/>
          <w:szCs w:val="24"/>
        </w:rPr>
        <w:t>Raf Ömrü</w:t>
      </w:r>
    </w:p>
    <w:p w:rsidR="00C05469" w:rsidRPr="00D85226" w:rsidRDefault="001D74AE" w:rsidP="00D85226">
      <w:pPr>
        <w:shd w:val="clear" w:color="auto" w:fill="FFFFFF"/>
        <w:spacing w:line="360" w:lineRule="auto"/>
        <w:ind w:right="53"/>
        <w:contextualSpacing/>
        <w:jc w:val="both"/>
        <w:rPr>
          <w:rFonts w:ascii="Times New Roman" w:hAnsi="Times New Roman" w:cs="Times New Roman"/>
          <w:color w:val="000000"/>
          <w:spacing w:val="-16"/>
          <w:sz w:val="24"/>
          <w:szCs w:val="24"/>
        </w:rPr>
      </w:pPr>
      <w:r w:rsidRPr="001D74AE">
        <w:rPr>
          <w:rFonts w:ascii="Times New Roman" w:hAnsi="Times New Roman" w:cs="Times New Roman"/>
          <w:bCs/>
          <w:color w:val="000000"/>
          <w:spacing w:val="-16"/>
          <w:sz w:val="24"/>
          <w:szCs w:val="24"/>
        </w:rPr>
        <w:t>36</w:t>
      </w:r>
      <w:r w:rsidR="00E16420" w:rsidRPr="001D74AE">
        <w:rPr>
          <w:rFonts w:ascii="Times New Roman" w:hAnsi="Times New Roman" w:cs="Times New Roman"/>
          <w:bCs/>
          <w:color w:val="000000"/>
          <w:spacing w:val="-16"/>
          <w:sz w:val="24"/>
          <w:szCs w:val="24"/>
        </w:rPr>
        <w:t xml:space="preserve"> </w:t>
      </w:r>
      <w:r w:rsidR="00E16420" w:rsidRPr="001D74AE">
        <w:rPr>
          <w:rFonts w:ascii="Times New Roman" w:hAnsi="Times New Roman" w:cs="Times New Roman"/>
          <w:color w:val="000000"/>
          <w:spacing w:val="-16"/>
          <w:sz w:val="24"/>
          <w:szCs w:val="24"/>
        </w:rPr>
        <w:t>ay</w:t>
      </w:r>
    </w:p>
    <w:p w:rsidR="00E16420" w:rsidRPr="001D74AE" w:rsidRDefault="00E16420" w:rsidP="00A935F8">
      <w:pPr>
        <w:shd w:val="clear" w:color="auto" w:fill="FFFFFF"/>
        <w:spacing w:line="360" w:lineRule="auto"/>
        <w:ind w:right="53"/>
        <w:contextualSpacing/>
        <w:jc w:val="both"/>
        <w:rPr>
          <w:rFonts w:ascii="Times New Roman" w:hAnsi="Times New Roman" w:cs="Times New Roman"/>
          <w:b/>
          <w:color w:val="000000"/>
          <w:sz w:val="24"/>
          <w:szCs w:val="24"/>
        </w:rPr>
      </w:pPr>
      <w:r w:rsidRPr="001D74AE">
        <w:rPr>
          <w:rFonts w:ascii="Times New Roman" w:hAnsi="Times New Roman" w:cs="Times New Roman"/>
          <w:b/>
          <w:color w:val="000000"/>
          <w:sz w:val="24"/>
          <w:szCs w:val="24"/>
        </w:rPr>
        <w:t>6.4.</w:t>
      </w:r>
      <w:r w:rsidR="00331B2E" w:rsidRPr="001D74AE">
        <w:rPr>
          <w:rFonts w:ascii="Times New Roman" w:hAnsi="Times New Roman" w:cs="Times New Roman"/>
          <w:b/>
          <w:color w:val="000000"/>
          <w:sz w:val="24"/>
          <w:szCs w:val="24"/>
        </w:rPr>
        <w:t xml:space="preserve"> </w:t>
      </w:r>
      <w:r w:rsidRPr="001D74AE">
        <w:rPr>
          <w:rFonts w:ascii="Times New Roman" w:hAnsi="Times New Roman" w:cs="Times New Roman"/>
          <w:b/>
          <w:color w:val="000000"/>
          <w:sz w:val="24"/>
          <w:szCs w:val="24"/>
        </w:rPr>
        <w:t>Saklamaya yönelik özel tedbirler</w:t>
      </w:r>
    </w:p>
    <w:p w:rsidR="00C05469" w:rsidRPr="00D85226" w:rsidRDefault="00C05469" w:rsidP="00A935F8">
      <w:pPr>
        <w:shd w:val="clear" w:color="auto" w:fill="FFFFFF"/>
        <w:spacing w:line="360" w:lineRule="auto"/>
        <w:ind w:right="51"/>
        <w:contextualSpacing/>
        <w:jc w:val="both"/>
        <w:rPr>
          <w:rFonts w:ascii="Times New Roman" w:hAnsi="Times New Roman" w:cs="Times New Roman"/>
          <w:color w:val="000000"/>
          <w:spacing w:val="-4"/>
          <w:sz w:val="24"/>
          <w:szCs w:val="24"/>
        </w:rPr>
      </w:pPr>
      <w:r w:rsidRPr="001D74AE">
        <w:rPr>
          <w:rFonts w:ascii="Times New Roman" w:hAnsi="Times New Roman" w:cs="Times New Roman"/>
          <w:color w:val="000000"/>
          <w:spacing w:val="-4"/>
          <w:sz w:val="24"/>
          <w:szCs w:val="24"/>
        </w:rPr>
        <w:t>25ºC’nin altındaki oda sıcaklığında saklayınız.</w:t>
      </w:r>
    </w:p>
    <w:p w:rsidR="00E16420" w:rsidRPr="00D43C0D" w:rsidRDefault="00E16420" w:rsidP="00A935F8">
      <w:pPr>
        <w:shd w:val="clear" w:color="auto" w:fill="FFFFFF"/>
        <w:spacing w:line="360" w:lineRule="auto"/>
        <w:ind w:right="53"/>
        <w:contextualSpacing/>
        <w:jc w:val="both"/>
        <w:rPr>
          <w:rFonts w:ascii="Times New Roman" w:hAnsi="Times New Roman" w:cs="Times New Roman"/>
          <w:b/>
          <w:color w:val="000000"/>
          <w:sz w:val="24"/>
          <w:szCs w:val="24"/>
        </w:rPr>
      </w:pPr>
      <w:r w:rsidRPr="00D43C0D">
        <w:rPr>
          <w:rFonts w:ascii="Times New Roman" w:hAnsi="Times New Roman" w:cs="Times New Roman"/>
          <w:b/>
          <w:color w:val="000000"/>
          <w:sz w:val="24"/>
          <w:szCs w:val="24"/>
        </w:rPr>
        <w:t>6.5.</w:t>
      </w:r>
      <w:r w:rsidR="00331B2E" w:rsidRPr="00D43C0D">
        <w:rPr>
          <w:rFonts w:ascii="Times New Roman" w:hAnsi="Times New Roman" w:cs="Times New Roman"/>
          <w:b/>
          <w:color w:val="000000"/>
          <w:sz w:val="24"/>
          <w:szCs w:val="24"/>
        </w:rPr>
        <w:t xml:space="preserve"> </w:t>
      </w:r>
      <w:r w:rsidRPr="00D43C0D">
        <w:rPr>
          <w:rFonts w:ascii="Times New Roman" w:hAnsi="Times New Roman" w:cs="Times New Roman"/>
          <w:b/>
          <w:color w:val="000000"/>
          <w:sz w:val="24"/>
          <w:szCs w:val="24"/>
        </w:rPr>
        <w:t>Ambalajın niteliği ve içeriği</w:t>
      </w:r>
    </w:p>
    <w:p w:rsidR="006C15DF" w:rsidRDefault="006C15DF" w:rsidP="00A935F8">
      <w:pPr>
        <w:shd w:val="clear" w:color="auto" w:fill="FFFFFF"/>
        <w:spacing w:line="360" w:lineRule="auto"/>
        <w:ind w:right="53"/>
        <w:contextualSpacing/>
        <w:jc w:val="both"/>
        <w:rPr>
          <w:rFonts w:ascii="Times New Roman" w:hAnsi="Times New Roman" w:cs="Times New Roman"/>
          <w:color w:val="000000"/>
          <w:sz w:val="24"/>
          <w:szCs w:val="24"/>
        </w:rPr>
      </w:pPr>
      <w:r w:rsidRPr="00B04CBC">
        <w:rPr>
          <w:rFonts w:ascii="Times New Roman" w:hAnsi="Times New Roman" w:cs="Times New Roman"/>
          <w:sz w:val="24"/>
          <w:szCs w:val="24"/>
        </w:rPr>
        <w:t>Kutuda, PVC/Al folyo blister ambalajda</w:t>
      </w:r>
    </w:p>
    <w:p w:rsidR="00C05469" w:rsidRPr="00D85226" w:rsidRDefault="001D74AE" w:rsidP="00D85226">
      <w:pPr>
        <w:shd w:val="clear" w:color="auto" w:fill="FFFFFF"/>
        <w:spacing w:line="360" w:lineRule="auto"/>
        <w:ind w:right="53"/>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1D74AE">
        <w:rPr>
          <w:rFonts w:ascii="Times New Roman" w:hAnsi="Times New Roman" w:cs="Times New Roman"/>
          <w:color w:val="000000"/>
          <w:sz w:val="24"/>
          <w:szCs w:val="24"/>
        </w:rPr>
        <w:t>4 ve 8</w:t>
      </w:r>
      <w:r w:rsidR="00C05469" w:rsidRPr="001D74AE">
        <w:rPr>
          <w:rFonts w:ascii="Times New Roman" w:hAnsi="Times New Roman" w:cs="Times New Roman"/>
          <w:color w:val="000000"/>
          <w:sz w:val="24"/>
          <w:szCs w:val="24"/>
        </w:rPr>
        <w:t xml:space="preserve"> Film Tablet</w:t>
      </w:r>
    </w:p>
    <w:p w:rsidR="00E16420" w:rsidRPr="00D43C0D" w:rsidRDefault="00E16420" w:rsidP="00A935F8">
      <w:pPr>
        <w:shd w:val="clear" w:color="auto" w:fill="FFFFFF"/>
        <w:spacing w:line="360" w:lineRule="auto"/>
        <w:ind w:right="53"/>
        <w:contextualSpacing/>
        <w:jc w:val="both"/>
        <w:rPr>
          <w:rFonts w:ascii="Times New Roman" w:hAnsi="Times New Roman" w:cs="Times New Roman"/>
          <w:b/>
          <w:color w:val="000000"/>
          <w:sz w:val="24"/>
          <w:szCs w:val="24"/>
        </w:rPr>
      </w:pPr>
      <w:r w:rsidRPr="00D43C0D">
        <w:rPr>
          <w:rFonts w:ascii="Times New Roman" w:hAnsi="Times New Roman" w:cs="Times New Roman"/>
          <w:b/>
          <w:color w:val="000000"/>
          <w:sz w:val="24"/>
          <w:szCs w:val="24"/>
        </w:rPr>
        <w:t>6.6.</w:t>
      </w:r>
      <w:r w:rsidR="00331B2E" w:rsidRPr="00D43C0D">
        <w:rPr>
          <w:rFonts w:ascii="Times New Roman" w:hAnsi="Times New Roman" w:cs="Times New Roman"/>
          <w:b/>
          <w:color w:val="000000"/>
          <w:sz w:val="24"/>
          <w:szCs w:val="24"/>
        </w:rPr>
        <w:t xml:space="preserve"> </w:t>
      </w:r>
      <w:r w:rsidRPr="00D43C0D">
        <w:rPr>
          <w:rFonts w:ascii="Times New Roman" w:hAnsi="Times New Roman" w:cs="Times New Roman"/>
          <w:b/>
          <w:color w:val="000000"/>
          <w:sz w:val="24"/>
          <w:szCs w:val="24"/>
        </w:rPr>
        <w:t>Beşeri tıbbi üründen arta kalan maddelerin imhası ve diğer özel önlemler</w:t>
      </w:r>
    </w:p>
    <w:p w:rsidR="006C15DF" w:rsidRPr="00D85226" w:rsidRDefault="00E16420" w:rsidP="00D85226">
      <w:pPr>
        <w:shd w:val="clear" w:color="auto" w:fill="FFFFFF"/>
        <w:spacing w:line="360" w:lineRule="auto"/>
        <w:ind w:right="53"/>
        <w:contextualSpacing/>
        <w:jc w:val="both"/>
        <w:rPr>
          <w:rFonts w:ascii="Times New Roman" w:hAnsi="Times New Roman" w:cs="Times New Roman"/>
          <w:color w:val="000000"/>
          <w:spacing w:val="-3"/>
          <w:sz w:val="24"/>
          <w:szCs w:val="24"/>
        </w:rPr>
      </w:pPr>
      <w:r w:rsidRPr="004C4DF2">
        <w:rPr>
          <w:rFonts w:ascii="Times New Roman" w:hAnsi="Times New Roman" w:cs="Times New Roman"/>
          <w:color w:val="000000"/>
          <w:spacing w:val="-3"/>
          <w:sz w:val="24"/>
          <w:szCs w:val="24"/>
        </w:rPr>
        <w:t>Kullanılmamış olan ürünler ya da atık materyaller, "Tıbbi Atıkların Kontrolü Yönetmeliği" ve "Ambalaj ve Ambalaj Atıklarının Kontrolü Yönetmeliği"ne uygun olarak imha edilmelidir.</w:t>
      </w:r>
    </w:p>
    <w:p w:rsidR="00E16420" w:rsidRPr="000D1EE0" w:rsidRDefault="00E16420" w:rsidP="00A935F8">
      <w:pPr>
        <w:shd w:val="clear" w:color="auto" w:fill="FFFFFF"/>
        <w:tabs>
          <w:tab w:val="left" w:pos="701"/>
        </w:tabs>
        <w:spacing w:line="360" w:lineRule="auto"/>
        <w:ind w:right="51"/>
        <w:contextualSpacing/>
        <w:jc w:val="both"/>
        <w:rPr>
          <w:rFonts w:ascii="Times New Roman" w:hAnsi="Times New Roman" w:cs="Times New Roman"/>
          <w:b/>
          <w:bCs/>
          <w:color w:val="000000"/>
          <w:spacing w:val="-4"/>
          <w:sz w:val="24"/>
          <w:szCs w:val="24"/>
        </w:rPr>
      </w:pPr>
      <w:r w:rsidRPr="000D1EE0">
        <w:rPr>
          <w:rFonts w:ascii="Times New Roman" w:hAnsi="Times New Roman" w:cs="Times New Roman"/>
          <w:b/>
          <w:bCs/>
          <w:color w:val="000000"/>
          <w:spacing w:val="-4"/>
          <w:sz w:val="24"/>
          <w:szCs w:val="24"/>
        </w:rPr>
        <w:t>7.</w:t>
      </w:r>
      <w:r w:rsidR="00331B2E" w:rsidRPr="000D1EE0">
        <w:rPr>
          <w:rFonts w:ascii="Times New Roman" w:hAnsi="Times New Roman" w:cs="Times New Roman"/>
          <w:b/>
          <w:bCs/>
          <w:color w:val="000000"/>
          <w:spacing w:val="-4"/>
          <w:sz w:val="24"/>
          <w:szCs w:val="24"/>
        </w:rPr>
        <w:t xml:space="preserve"> </w:t>
      </w:r>
      <w:r w:rsidRPr="000D1EE0">
        <w:rPr>
          <w:rFonts w:ascii="Times New Roman" w:hAnsi="Times New Roman" w:cs="Times New Roman"/>
          <w:b/>
          <w:bCs/>
          <w:color w:val="000000"/>
          <w:spacing w:val="-4"/>
          <w:sz w:val="24"/>
          <w:szCs w:val="24"/>
        </w:rPr>
        <w:t>RUHSAT SAHİBİ</w:t>
      </w:r>
    </w:p>
    <w:p w:rsidR="00C05469" w:rsidRPr="004C4DF2" w:rsidRDefault="00C05469" w:rsidP="00A935F8">
      <w:pPr>
        <w:shd w:val="clear" w:color="auto" w:fill="FFFFFF"/>
        <w:tabs>
          <w:tab w:val="left" w:pos="4253"/>
        </w:tabs>
        <w:spacing w:line="360" w:lineRule="auto"/>
        <w:ind w:right="53"/>
        <w:contextualSpacing/>
        <w:jc w:val="both"/>
        <w:rPr>
          <w:rFonts w:ascii="Times New Roman" w:hAnsi="Times New Roman" w:cs="Times New Roman"/>
          <w:color w:val="000000"/>
          <w:spacing w:val="-4"/>
          <w:sz w:val="24"/>
          <w:szCs w:val="24"/>
        </w:rPr>
      </w:pPr>
      <w:r w:rsidRPr="004C4DF2">
        <w:rPr>
          <w:rFonts w:ascii="Times New Roman" w:hAnsi="Times New Roman" w:cs="Times New Roman"/>
          <w:color w:val="000000"/>
          <w:spacing w:val="-4"/>
          <w:sz w:val="24"/>
          <w:szCs w:val="24"/>
        </w:rPr>
        <w:t xml:space="preserve">Deva Holding A.Ş. </w:t>
      </w:r>
    </w:p>
    <w:p w:rsidR="00C05469" w:rsidRPr="004C4DF2" w:rsidRDefault="00C05469" w:rsidP="00A935F8">
      <w:pPr>
        <w:shd w:val="clear" w:color="auto" w:fill="FFFFFF"/>
        <w:tabs>
          <w:tab w:val="left" w:pos="4253"/>
        </w:tabs>
        <w:spacing w:line="360" w:lineRule="auto"/>
        <w:ind w:right="53"/>
        <w:contextualSpacing/>
        <w:jc w:val="both"/>
        <w:rPr>
          <w:rFonts w:ascii="Times New Roman" w:hAnsi="Times New Roman" w:cs="Times New Roman"/>
          <w:color w:val="000000"/>
          <w:spacing w:val="-4"/>
          <w:sz w:val="24"/>
          <w:szCs w:val="24"/>
        </w:rPr>
      </w:pPr>
      <w:r w:rsidRPr="004C4DF2">
        <w:rPr>
          <w:rFonts w:ascii="Times New Roman" w:hAnsi="Times New Roman" w:cs="Times New Roman"/>
          <w:color w:val="000000"/>
          <w:spacing w:val="-4"/>
          <w:sz w:val="24"/>
          <w:szCs w:val="24"/>
        </w:rPr>
        <w:t xml:space="preserve">Halkalı Merkez Mah. </w:t>
      </w:r>
    </w:p>
    <w:p w:rsidR="00C05469" w:rsidRPr="004C4DF2" w:rsidRDefault="00C05469" w:rsidP="00A935F8">
      <w:pPr>
        <w:shd w:val="clear" w:color="auto" w:fill="FFFFFF"/>
        <w:tabs>
          <w:tab w:val="left" w:pos="4253"/>
        </w:tabs>
        <w:spacing w:line="360" w:lineRule="auto"/>
        <w:ind w:right="53"/>
        <w:contextualSpacing/>
        <w:jc w:val="both"/>
        <w:rPr>
          <w:rFonts w:ascii="Times New Roman" w:hAnsi="Times New Roman" w:cs="Times New Roman"/>
          <w:color w:val="000000"/>
          <w:spacing w:val="-4"/>
          <w:sz w:val="24"/>
          <w:szCs w:val="24"/>
        </w:rPr>
      </w:pPr>
      <w:r w:rsidRPr="004C4DF2">
        <w:rPr>
          <w:rFonts w:ascii="Times New Roman" w:hAnsi="Times New Roman" w:cs="Times New Roman"/>
          <w:color w:val="000000"/>
          <w:spacing w:val="-4"/>
          <w:sz w:val="24"/>
          <w:szCs w:val="24"/>
        </w:rPr>
        <w:t xml:space="preserve">Basın Ekspres Cad. No:1 34303 </w:t>
      </w:r>
    </w:p>
    <w:p w:rsidR="00C05469" w:rsidRPr="004C4DF2" w:rsidRDefault="00C05469" w:rsidP="00A935F8">
      <w:pPr>
        <w:shd w:val="clear" w:color="auto" w:fill="FFFFFF"/>
        <w:tabs>
          <w:tab w:val="left" w:pos="4253"/>
        </w:tabs>
        <w:spacing w:line="360" w:lineRule="auto"/>
        <w:ind w:right="53"/>
        <w:contextualSpacing/>
        <w:jc w:val="both"/>
        <w:rPr>
          <w:rFonts w:ascii="Times New Roman" w:hAnsi="Times New Roman" w:cs="Times New Roman"/>
          <w:color w:val="000000"/>
          <w:spacing w:val="-4"/>
          <w:sz w:val="24"/>
          <w:szCs w:val="24"/>
        </w:rPr>
      </w:pPr>
      <w:r w:rsidRPr="004C4DF2">
        <w:rPr>
          <w:rFonts w:ascii="Times New Roman" w:hAnsi="Times New Roman" w:cs="Times New Roman"/>
          <w:color w:val="000000"/>
          <w:spacing w:val="-4"/>
          <w:sz w:val="24"/>
          <w:szCs w:val="24"/>
        </w:rPr>
        <w:t>Küçükçekmece/İSTANBUL</w:t>
      </w:r>
    </w:p>
    <w:p w:rsidR="00C05469" w:rsidRPr="004C4DF2" w:rsidRDefault="00D43C0D" w:rsidP="00A935F8">
      <w:pPr>
        <w:shd w:val="clear" w:color="auto" w:fill="FFFFFF"/>
        <w:tabs>
          <w:tab w:val="left" w:pos="4253"/>
        </w:tabs>
        <w:spacing w:line="360" w:lineRule="auto"/>
        <w:ind w:right="53"/>
        <w:contextualSpacing/>
        <w:jc w:val="both"/>
        <w:rPr>
          <w:rFonts w:ascii="Times New Roman" w:hAnsi="Times New Roman" w:cs="Times New Roman"/>
          <w:color w:val="000000"/>
          <w:spacing w:val="-4"/>
          <w:sz w:val="24"/>
          <w:szCs w:val="24"/>
        </w:rPr>
      </w:pPr>
      <w:r w:rsidRPr="004C4DF2">
        <w:rPr>
          <w:rFonts w:ascii="Times New Roman" w:hAnsi="Times New Roman" w:cs="Times New Roman"/>
          <w:color w:val="000000"/>
          <w:spacing w:val="-4"/>
          <w:sz w:val="24"/>
          <w:szCs w:val="24"/>
        </w:rPr>
        <w:t>Tel: 0212</w:t>
      </w:r>
      <w:r w:rsidR="00C05469" w:rsidRPr="004C4DF2">
        <w:rPr>
          <w:rFonts w:ascii="Times New Roman" w:hAnsi="Times New Roman" w:cs="Times New Roman"/>
          <w:color w:val="000000"/>
          <w:spacing w:val="-4"/>
          <w:sz w:val="24"/>
          <w:szCs w:val="24"/>
        </w:rPr>
        <w:t xml:space="preserve"> 692 92 92</w:t>
      </w:r>
    </w:p>
    <w:p w:rsidR="00F94479" w:rsidRPr="004C4DF2" w:rsidRDefault="00C05469" w:rsidP="00D85226">
      <w:pPr>
        <w:shd w:val="clear" w:color="auto" w:fill="FFFFFF"/>
        <w:tabs>
          <w:tab w:val="left" w:pos="4253"/>
        </w:tabs>
        <w:spacing w:line="360" w:lineRule="auto"/>
        <w:ind w:right="53"/>
        <w:contextualSpacing/>
        <w:jc w:val="both"/>
        <w:rPr>
          <w:rFonts w:ascii="Times New Roman" w:hAnsi="Times New Roman" w:cs="Times New Roman"/>
          <w:color w:val="000000"/>
          <w:spacing w:val="-4"/>
          <w:sz w:val="24"/>
          <w:szCs w:val="24"/>
        </w:rPr>
      </w:pPr>
      <w:r w:rsidRPr="004C4DF2">
        <w:rPr>
          <w:rFonts w:ascii="Times New Roman" w:hAnsi="Times New Roman" w:cs="Times New Roman"/>
          <w:color w:val="000000"/>
          <w:spacing w:val="-4"/>
          <w:sz w:val="24"/>
          <w:szCs w:val="24"/>
        </w:rPr>
        <w:t>Faks: 0212 697 00 24</w:t>
      </w:r>
    </w:p>
    <w:p w:rsidR="00E16420" w:rsidRPr="000D1EE0" w:rsidRDefault="00E16420" w:rsidP="00A935F8">
      <w:pPr>
        <w:shd w:val="clear" w:color="auto" w:fill="FFFFFF"/>
        <w:tabs>
          <w:tab w:val="left" w:pos="701"/>
        </w:tabs>
        <w:spacing w:line="360" w:lineRule="auto"/>
        <w:ind w:right="51"/>
        <w:contextualSpacing/>
        <w:jc w:val="both"/>
        <w:rPr>
          <w:rFonts w:ascii="Times New Roman" w:hAnsi="Times New Roman" w:cs="Times New Roman"/>
          <w:b/>
          <w:bCs/>
          <w:color w:val="000000"/>
          <w:spacing w:val="-4"/>
          <w:sz w:val="24"/>
          <w:szCs w:val="24"/>
        </w:rPr>
      </w:pPr>
      <w:r w:rsidRPr="000D1EE0">
        <w:rPr>
          <w:rFonts w:ascii="Times New Roman" w:hAnsi="Times New Roman" w:cs="Times New Roman"/>
          <w:b/>
          <w:bCs/>
          <w:color w:val="000000"/>
          <w:spacing w:val="-4"/>
          <w:sz w:val="24"/>
          <w:szCs w:val="24"/>
        </w:rPr>
        <w:t>8.</w:t>
      </w:r>
      <w:r w:rsidR="00331B2E" w:rsidRPr="000D1EE0">
        <w:rPr>
          <w:rFonts w:ascii="Times New Roman" w:hAnsi="Times New Roman" w:cs="Times New Roman"/>
          <w:b/>
          <w:bCs/>
          <w:color w:val="000000"/>
          <w:spacing w:val="-4"/>
          <w:sz w:val="24"/>
          <w:szCs w:val="24"/>
        </w:rPr>
        <w:t xml:space="preserve"> </w:t>
      </w:r>
      <w:r w:rsidRPr="000D1EE0">
        <w:rPr>
          <w:rFonts w:ascii="Times New Roman" w:hAnsi="Times New Roman" w:cs="Times New Roman"/>
          <w:b/>
          <w:bCs/>
          <w:color w:val="000000"/>
          <w:spacing w:val="-4"/>
          <w:sz w:val="24"/>
          <w:szCs w:val="24"/>
        </w:rPr>
        <w:t>RUHSAT NUMARASI</w:t>
      </w:r>
    </w:p>
    <w:p w:rsidR="00D43C0D" w:rsidRPr="004C4DF2" w:rsidRDefault="001D74AE" w:rsidP="00D85226">
      <w:pPr>
        <w:shd w:val="clear" w:color="auto" w:fill="FFFFFF"/>
        <w:spacing w:line="360" w:lineRule="auto"/>
        <w:ind w:right="53"/>
        <w:contextualSpacing/>
        <w:jc w:val="both"/>
        <w:rPr>
          <w:rFonts w:ascii="Times New Roman" w:hAnsi="Times New Roman" w:cs="Times New Roman"/>
          <w:color w:val="000000"/>
          <w:spacing w:val="-17"/>
          <w:sz w:val="24"/>
          <w:szCs w:val="24"/>
        </w:rPr>
      </w:pPr>
      <w:r>
        <w:rPr>
          <w:rFonts w:ascii="Times New Roman" w:hAnsi="Times New Roman" w:cs="Times New Roman"/>
          <w:color w:val="000000"/>
          <w:spacing w:val="-17"/>
          <w:sz w:val="24"/>
          <w:szCs w:val="24"/>
        </w:rPr>
        <w:t xml:space="preserve">205 / </w:t>
      </w:r>
      <w:r w:rsidR="003F72EA">
        <w:rPr>
          <w:rFonts w:ascii="Times New Roman" w:hAnsi="Times New Roman" w:cs="Times New Roman"/>
          <w:color w:val="000000"/>
          <w:spacing w:val="-17"/>
          <w:sz w:val="24"/>
          <w:szCs w:val="24"/>
        </w:rPr>
        <w:t>15</w:t>
      </w:r>
    </w:p>
    <w:p w:rsidR="00E16420" w:rsidRPr="000D1EE0" w:rsidRDefault="00E16420" w:rsidP="00A935F8">
      <w:pPr>
        <w:shd w:val="clear" w:color="auto" w:fill="FFFFFF"/>
        <w:tabs>
          <w:tab w:val="left" w:pos="701"/>
        </w:tabs>
        <w:spacing w:line="360" w:lineRule="auto"/>
        <w:ind w:right="51"/>
        <w:contextualSpacing/>
        <w:jc w:val="both"/>
        <w:rPr>
          <w:rFonts w:ascii="Times New Roman" w:hAnsi="Times New Roman" w:cs="Times New Roman"/>
          <w:b/>
          <w:bCs/>
          <w:color w:val="000000"/>
          <w:spacing w:val="-4"/>
          <w:sz w:val="24"/>
          <w:szCs w:val="24"/>
        </w:rPr>
      </w:pPr>
      <w:r w:rsidRPr="000D1EE0">
        <w:rPr>
          <w:rFonts w:ascii="Times New Roman" w:hAnsi="Times New Roman" w:cs="Times New Roman"/>
          <w:b/>
          <w:bCs/>
          <w:color w:val="000000"/>
          <w:spacing w:val="-4"/>
          <w:sz w:val="24"/>
          <w:szCs w:val="24"/>
        </w:rPr>
        <w:t>9.</w:t>
      </w:r>
      <w:r w:rsidR="00331B2E" w:rsidRPr="000D1EE0">
        <w:rPr>
          <w:rFonts w:ascii="Times New Roman" w:hAnsi="Times New Roman" w:cs="Times New Roman"/>
          <w:b/>
          <w:bCs/>
          <w:color w:val="000000"/>
          <w:spacing w:val="-4"/>
          <w:sz w:val="24"/>
          <w:szCs w:val="24"/>
        </w:rPr>
        <w:t xml:space="preserve"> </w:t>
      </w:r>
      <w:r w:rsidRPr="000D1EE0">
        <w:rPr>
          <w:rFonts w:ascii="Times New Roman" w:hAnsi="Times New Roman" w:cs="Times New Roman"/>
          <w:b/>
          <w:bCs/>
          <w:color w:val="000000"/>
          <w:spacing w:val="-4"/>
          <w:sz w:val="24"/>
          <w:szCs w:val="24"/>
        </w:rPr>
        <w:t>İLK RUHSAT TARİHİ/RUHSAT YENİLEME TARİHİ</w:t>
      </w:r>
    </w:p>
    <w:p w:rsidR="00E16420" w:rsidRPr="004C4DF2" w:rsidRDefault="00E16420" w:rsidP="00A935F8">
      <w:pPr>
        <w:shd w:val="clear" w:color="auto" w:fill="FFFFFF"/>
        <w:tabs>
          <w:tab w:val="left" w:pos="701"/>
        </w:tabs>
        <w:spacing w:line="360" w:lineRule="auto"/>
        <w:ind w:right="53"/>
        <w:contextualSpacing/>
        <w:jc w:val="both"/>
        <w:rPr>
          <w:rFonts w:ascii="Times New Roman" w:hAnsi="Times New Roman" w:cs="Times New Roman"/>
          <w:bCs/>
          <w:color w:val="000000"/>
          <w:sz w:val="24"/>
          <w:szCs w:val="24"/>
        </w:rPr>
      </w:pPr>
      <w:r w:rsidRPr="004C4DF2">
        <w:rPr>
          <w:rFonts w:ascii="Times New Roman" w:hAnsi="Times New Roman" w:cs="Times New Roman"/>
          <w:bCs/>
          <w:color w:val="000000"/>
          <w:sz w:val="24"/>
          <w:szCs w:val="24"/>
        </w:rPr>
        <w:t xml:space="preserve">İlk ruhsat tarihi: </w:t>
      </w:r>
      <w:r w:rsidR="001D74AE" w:rsidRPr="001D74AE">
        <w:rPr>
          <w:rFonts w:ascii="Times New Roman" w:hAnsi="Times New Roman" w:cs="Times New Roman"/>
          <w:bCs/>
          <w:color w:val="000000"/>
          <w:sz w:val="24"/>
          <w:szCs w:val="24"/>
        </w:rPr>
        <w:t>06</w:t>
      </w:r>
      <w:r w:rsidR="00D43C0D" w:rsidRPr="001D74AE">
        <w:rPr>
          <w:rFonts w:ascii="Times New Roman" w:hAnsi="Times New Roman" w:cs="Times New Roman"/>
          <w:bCs/>
          <w:color w:val="000000"/>
          <w:sz w:val="24"/>
          <w:szCs w:val="24"/>
        </w:rPr>
        <w:t>.0</w:t>
      </w:r>
      <w:r w:rsidR="001D74AE" w:rsidRPr="001D74AE">
        <w:rPr>
          <w:rFonts w:ascii="Times New Roman" w:hAnsi="Times New Roman" w:cs="Times New Roman"/>
          <w:bCs/>
          <w:color w:val="000000"/>
          <w:sz w:val="24"/>
          <w:szCs w:val="24"/>
        </w:rPr>
        <w:t>1</w:t>
      </w:r>
      <w:r w:rsidR="00D43C0D" w:rsidRPr="001D74AE">
        <w:rPr>
          <w:rFonts w:ascii="Times New Roman" w:hAnsi="Times New Roman" w:cs="Times New Roman"/>
          <w:bCs/>
          <w:color w:val="000000"/>
          <w:sz w:val="24"/>
          <w:szCs w:val="24"/>
        </w:rPr>
        <w:t>.20</w:t>
      </w:r>
      <w:r w:rsidR="001D74AE" w:rsidRPr="001D74AE">
        <w:rPr>
          <w:rFonts w:ascii="Times New Roman" w:hAnsi="Times New Roman" w:cs="Times New Roman"/>
          <w:bCs/>
          <w:color w:val="000000"/>
          <w:sz w:val="24"/>
          <w:szCs w:val="24"/>
        </w:rPr>
        <w:t>05</w:t>
      </w:r>
    </w:p>
    <w:p w:rsidR="00E16420" w:rsidRPr="004C4DF2" w:rsidRDefault="00E16420" w:rsidP="00A935F8">
      <w:pPr>
        <w:shd w:val="clear" w:color="auto" w:fill="FFFFFF"/>
        <w:tabs>
          <w:tab w:val="left" w:pos="701"/>
        </w:tabs>
        <w:spacing w:line="360" w:lineRule="auto"/>
        <w:ind w:right="53"/>
        <w:contextualSpacing/>
        <w:jc w:val="both"/>
        <w:rPr>
          <w:rFonts w:ascii="Times New Roman" w:hAnsi="Times New Roman" w:cs="Times New Roman"/>
          <w:bCs/>
          <w:color w:val="000000"/>
          <w:sz w:val="24"/>
          <w:szCs w:val="24"/>
        </w:rPr>
      </w:pPr>
      <w:r w:rsidRPr="004C4DF2">
        <w:rPr>
          <w:rFonts w:ascii="Times New Roman" w:hAnsi="Times New Roman" w:cs="Times New Roman"/>
          <w:bCs/>
          <w:color w:val="000000"/>
          <w:sz w:val="24"/>
          <w:szCs w:val="24"/>
        </w:rPr>
        <w:t>Ruhsat yenileme tarihi:</w:t>
      </w:r>
      <w:r w:rsidR="00F758D4">
        <w:rPr>
          <w:rFonts w:ascii="Times New Roman" w:hAnsi="Times New Roman" w:cs="Times New Roman"/>
          <w:bCs/>
          <w:color w:val="000000"/>
          <w:sz w:val="24"/>
          <w:szCs w:val="24"/>
        </w:rPr>
        <w:t xml:space="preserve"> </w:t>
      </w:r>
    </w:p>
    <w:p w:rsidR="00C05469" w:rsidRPr="004C4DF2" w:rsidRDefault="00C05469" w:rsidP="00A935F8">
      <w:pPr>
        <w:shd w:val="clear" w:color="auto" w:fill="FFFFFF"/>
        <w:tabs>
          <w:tab w:val="left" w:pos="701"/>
        </w:tabs>
        <w:spacing w:line="360" w:lineRule="auto"/>
        <w:ind w:right="51"/>
        <w:contextualSpacing/>
        <w:jc w:val="both"/>
        <w:rPr>
          <w:rFonts w:ascii="Times New Roman" w:hAnsi="Times New Roman" w:cs="Times New Roman"/>
          <w:bCs/>
          <w:color w:val="000000"/>
          <w:sz w:val="24"/>
          <w:szCs w:val="24"/>
        </w:rPr>
      </w:pPr>
    </w:p>
    <w:p w:rsidR="00E16420" w:rsidRPr="004C4DF2" w:rsidRDefault="00E16420" w:rsidP="00A935F8">
      <w:pPr>
        <w:shd w:val="clear" w:color="auto" w:fill="FFFFFF"/>
        <w:tabs>
          <w:tab w:val="left" w:pos="696"/>
        </w:tabs>
        <w:spacing w:line="360" w:lineRule="auto"/>
        <w:ind w:right="53"/>
        <w:contextualSpacing/>
        <w:jc w:val="both"/>
        <w:rPr>
          <w:rFonts w:ascii="Times New Roman" w:hAnsi="Times New Roman" w:cs="Times New Roman"/>
          <w:b/>
          <w:bCs/>
          <w:color w:val="000000"/>
          <w:sz w:val="24"/>
          <w:szCs w:val="24"/>
        </w:rPr>
      </w:pPr>
      <w:r w:rsidRPr="004C4DF2">
        <w:rPr>
          <w:rFonts w:ascii="Times New Roman" w:hAnsi="Times New Roman" w:cs="Times New Roman"/>
          <w:b/>
          <w:bCs/>
          <w:color w:val="000000"/>
          <w:sz w:val="24"/>
          <w:szCs w:val="24"/>
        </w:rPr>
        <w:t>10.</w:t>
      </w:r>
      <w:r w:rsidR="00331B2E" w:rsidRPr="004C4DF2">
        <w:rPr>
          <w:rFonts w:ascii="Times New Roman" w:hAnsi="Times New Roman" w:cs="Times New Roman"/>
          <w:b/>
          <w:bCs/>
          <w:color w:val="000000"/>
          <w:sz w:val="24"/>
          <w:szCs w:val="24"/>
        </w:rPr>
        <w:t xml:space="preserve"> </w:t>
      </w:r>
      <w:r w:rsidRPr="004C4DF2">
        <w:rPr>
          <w:rFonts w:ascii="Times New Roman" w:hAnsi="Times New Roman" w:cs="Times New Roman"/>
          <w:b/>
          <w:bCs/>
          <w:color w:val="000000"/>
          <w:sz w:val="24"/>
          <w:szCs w:val="24"/>
        </w:rPr>
        <w:t>KÜB'ÜN YENİLENME TARİHİ</w:t>
      </w:r>
    </w:p>
    <w:p w:rsidR="00E16420" w:rsidRPr="004C4DF2" w:rsidRDefault="00E16420" w:rsidP="00A935F8">
      <w:pPr>
        <w:spacing w:line="360" w:lineRule="auto"/>
        <w:ind w:right="53"/>
        <w:contextualSpacing/>
        <w:jc w:val="both"/>
        <w:rPr>
          <w:rFonts w:ascii="Times New Roman" w:hAnsi="Times New Roman" w:cs="Times New Roman"/>
          <w:sz w:val="24"/>
          <w:szCs w:val="24"/>
        </w:rPr>
      </w:pPr>
    </w:p>
    <w:sectPr w:rsidR="00E16420" w:rsidRPr="004C4DF2" w:rsidSect="00F54952">
      <w:footerReference w:type="default" r:id="rId10"/>
      <w:type w:val="continuous"/>
      <w:pgSz w:w="11909" w:h="16834"/>
      <w:pgMar w:top="1440" w:right="994" w:bottom="720" w:left="1276"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247" w:rsidRDefault="00D45247" w:rsidP="00923E64">
      <w:r>
        <w:separator/>
      </w:r>
    </w:p>
  </w:endnote>
  <w:endnote w:type="continuationSeparator" w:id="0">
    <w:p w:rsidR="00D45247" w:rsidRDefault="00D45247" w:rsidP="00923E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20000287" w:usb1="00000000" w:usb2="00000000" w:usb3="00000000" w:csb0="0000019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B83" w:rsidRPr="006D1B83" w:rsidRDefault="006D1B83" w:rsidP="002C04A9">
    <w:pPr>
      <w:pStyle w:val="Altbilgi"/>
      <w:jc w:val="right"/>
    </w:pPr>
    <w:r w:rsidRPr="006D1B83">
      <w:t xml:space="preserve">Sayfa </w:t>
    </w:r>
    <w:fldSimple w:instr="PAGE">
      <w:r w:rsidR="00CE48FF">
        <w:rPr>
          <w:noProof/>
        </w:rPr>
        <w:t>16</w:t>
      </w:r>
    </w:fldSimple>
    <w:r w:rsidRPr="006D1B83">
      <w:t xml:space="preserve"> / </w:t>
    </w:r>
    <w:fldSimple w:instr="NUMPAGES">
      <w:r w:rsidR="00CE48FF">
        <w:rPr>
          <w:noProof/>
        </w:rPr>
        <w:t>17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247" w:rsidRDefault="00D45247" w:rsidP="00923E64">
      <w:r>
        <w:separator/>
      </w:r>
    </w:p>
  </w:footnote>
  <w:footnote w:type="continuationSeparator" w:id="0">
    <w:p w:rsidR="00D45247" w:rsidRDefault="00D45247" w:rsidP="00923E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B8C2AE"/>
    <w:lvl w:ilvl="0">
      <w:numFmt w:val="bullet"/>
      <w:lvlText w:val="*"/>
      <w:lvlJc w:val="left"/>
    </w:lvl>
  </w:abstractNum>
  <w:abstractNum w:abstractNumId="1">
    <w:nsid w:val="45B904DC"/>
    <w:multiLevelType w:val="hybridMultilevel"/>
    <w:tmpl w:val="48A41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1A57802"/>
    <w:multiLevelType w:val="hybridMultilevel"/>
    <w:tmpl w:val="6A7EC1B0"/>
    <w:lvl w:ilvl="0" w:tplc="83B8C2AE">
      <w:numFmt w:val="bullet"/>
      <w:lvlText w:val="-"/>
      <w:lvlJc w:val="left"/>
      <w:pPr>
        <w:ind w:left="11" w:hanging="360"/>
      </w:pPr>
      <w:rPr>
        <w:rFonts w:ascii="Verdana" w:hAnsi="Verdana" w:hint="default"/>
      </w:rPr>
    </w:lvl>
    <w:lvl w:ilvl="1" w:tplc="041F0003" w:tentative="1">
      <w:start w:val="1"/>
      <w:numFmt w:val="bullet"/>
      <w:lvlText w:val="o"/>
      <w:lvlJc w:val="left"/>
      <w:pPr>
        <w:ind w:left="731" w:hanging="360"/>
      </w:pPr>
      <w:rPr>
        <w:rFonts w:ascii="Courier New" w:hAnsi="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3">
    <w:nsid w:val="604F0E4F"/>
    <w:multiLevelType w:val="hybridMultilevel"/>
    <w:tmpl w:val="A71432D2"/>
    <w:lvl w:ilvl="0" w:tplc="FE56C2B8">
      <w:start w:val="1"/>
      <w:numFmt w:val="decimal"/>
      <w:lvlText w:val="%1."/>
      <w:lvlJc w:val="left"/>
      <w:pPr>
        <w:ind w:left="720" w:hanging="360"/>
      </w:pPr>
      <w:rPr>
        <w:rFonts w:ascii="Verdana" w:hAnsi="Verdana" w:cs="Verdana" w:hint="default"/>
        <w:b/>
        <w:color w:val="00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12"/>
        <w:lvlJc w:val="left"/>
        <w:rPr>
          <w:rFonts w:ascii="Verdana" w:hAnsi="Verdana" w:hint="default"/>
        </w:rPr>
      </w:lvl>
    </w:lvlOverride>
  </w:num>
  <w:num w:numId="2">
    <w:abstractNumId w:val="0"/>
    <w:lvlOverride w:ilvl="0">
      <w:lvl w:ilvl="0">
        <w:numFmt w:val="bullet"/>
        <w:lvlText w:val="•"/>
        <w:legacy w:legacy="1" w:legacySpace="0" w:legacyIndent="346"/>
        <w:lvlJc w:val="left"/>
        <w:rPr>
          <w:rFonts w:ascii="Verdana" w:hAnsi="Verdana" w:hint="default"/>
        </w:rPr>
      </w:lvl>
    </w:lvlOverride>
  </w:num>
  <w:num w:numId="3">
    <w:abstractNumId w:val="0"/>
    <w:lvlOverride w:ilvl="0">
      <w:lvl w:ilvl="0">
        <w:numFmt w:val="bullet"/>
        <w:lvlText w:val="•"/>
        <w:legacy w:legacy="1" w:legacySpace="0" w:legacyIndent="307"/>
        <w:lvlJc w:val="left"/>
        <w:rPr>
          <w:rFonts w:ascii="Verdana" w:hAnsi="Verdana" w:hint="default"/>
        </w:rPr>
      </w:lvl>
    </w:lvlOverride>
  </w:num>
  <w:num w:numId="4">
    <w:abstractNumId w:val="0"/>
    <w:lvlOverride w:ilvl="0">
      <w:lvl w:ilvl="0">
        <w:numFmt w:val="bullet"/>
        <w:lvlText w:val="-"/>
        <w:legacy w:legacy="1" w:legacySpace="0" w:legacyIndent="279"/>
        <w:lvlJc w:val="left"/>
        <w:rPr>
          <w:rFonts w:ascii="Verdana" w:hAnsi="Verdana" w:hint="default"/>
        </w:rPr>
      </w:lvl>
    </w:lvlOverride>
  </w:num>
  <w:num w:numId="5">
    <w:abstractNumId w:val="0"/>
    <w:lvlOverride w:ilvl="0">
      <w:lvl w:ilvl="0">
        <w:numFmt w:val="bullet"/>
        <w:lvlText w:val="-"/>
        <w:legacy w:legacy="1" w:legacySpace="0" w:legacyIndent="140"/>
        <w:lvlJc w:val="left"/>
        <w:rPr>
          <w:rFonts w:ascii="Verdana" w:hAnsi="Verdana" w:hint="default"/>
        </w:rPr>
      </w:lvl>
    </w:lvlOverride>
  </w:num>
  <w:num w:numId="6">
    <w:abstractNumId w:val="0"/>
    <w:lvlOverride w:ilvl="0">
      <w:lvl w:ilvl="0">
        <w:numFmt w:val="bullet"/>
        <w:lvlText w:val="-"/>
        <w:legacy w:legacy="1" w:legacySpace="0" w:legacyIndent="129"/>
        <w:lvlJc w:val="left"/>
        <w:rPr>
          <w:rFonts w:ascii="Verdana" w:hAnsi="Verdana" w:hint="default"/>
        </w:rPr>
      </w:lvl>
    </w:lvlOverride>
  </w:num>
  <w:num w:numId="7">
    <w:abstractNumId w:val="3"/>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5A38"/>
    <w:rsid w:val="0006307E"/>
    <w:rsid w:val="0008308E"/>
    <w:rsid w:val="000D1EE0"/>
    <w:rsid w:val="000F78E6"/>
    <w:rsid w:val="00170A43"/>
    <w:rsid w:val="00170DC1"/>
    <w:rsid w:val="00180F38"/>
    <w:rsid w:val="001842FA"/>
    <w:rsid w:val="00185763"/>
    <w:rsid w:val="001960A0"/>
    <w:rsid w:val="001C33FD"/>
    <w:rsid w:val="001D00F9"/>
    <w:rsid w:val="001D74AE"/>
    <w:rsid w:val="002106C5"/>
    <w:rsid w:val="00273D52"/>
    <w:rsid w:val="00274735"/>
    <w:rsid w:val="00290E37"/>
    <w:rsid w:val="002C04A9"/>
    <w:rsid w:val="002C5A47"/>
    <w:rsid w:val="002E46CB"/>
    <w:rsid w:val="002F045D"/>
    <w:rsid w:val="00331B2E"/>
    <w:rsid w:val="003F70CB"/>
    <w:rsid w:val="003F72EA"/>
    <w:rsid w:val="00433661"/>
    <w:rsid w:val="004570A8"/>
    <w:rsid w:val="00483D92"/>
    <w:rsid w:val="004B5594"/>
    <w:rsid w:val="004C4DF2"/>
    <w:rsid w:val="004E7B88"/>
    <w:rsid w:val="005167E5"/>
    <w:rsid w:val="005263C7"/>
    <w:rsid w:val="00537D12"/>
    <w:rsid w:val="00541BDF"/>
    <w:rsid w:val="00542F65"/>
    <w:rsid w:val="005610F2"/>
    <w:rsid w:val="005C0AFA"/>
    <w:rsid w:val="005D43D0"/>
    <w:rsid w:val="005E4BFF"/>
    <w:rsid w:val="005E546E"/>
    <w:rsid w:val="005F74E6"/>
    <w:rsid w:val="006C15DF"/>
    <w:rsid w:val="006D1B83"/>
    <w:rsid w:val="006D22A3"/>
    <w:rsid w:val="006E13A1"/>
    <w:rsid w:val="006F013A"/>
    <w:rsid w:val="006F6818"/>
    <w:rsid w:val="00745691"/>
    <w:rsid w:val="00756F78"/>
    <w:rsid w:val="0078615D"/>
    <w:rsid w:val="007D4AA8"/>
    <w:rsid w:val="007E41F3"/>
    <w:rsid w:val="007F3942"/>
    <w:rsid w:val="00844105"/>
    <w:rsid w:val="00851BDE"/>
    <w:rsid w:val="0086204F"/>
    <w:rsid w:val="00885BE5"/>
    <w:rsid w:val="008921F8"/>
    <w:rsid w:val="008A5077"/>
    <w:rsid w:val="008E3188"/>
    <w:rsid w:val="00921D2B"/>
    <w:rsid w:val="00923D0A"/>
    <w:rsid w:val="00923E64"/>
    <w:rsid w:val="0094299A"/>
    <w:rsid w:val="00964006"/>
    <w:rsid w:val="009C1899"/>
    <w:rsid w:val="00A30E31"/>
    <w:rsid w:val="00A81318"/>
    <w:rsid w:val="00A935F8"/>
    <w:rsid w:val="00AC29B6"/>
    <w:rsid w:val="00AC407E"/>
    <w:rsid w:val="00AC5EFD"/>
    <w:rsid w:val="00AC61F4"/>
    <w:rsid w:val="00AD3AF8"/>
    <w:rsid w:val="00AE59FD"/>
    <w:rsid w:val="00AF0BF9"/>
    <w:rsid w:val="00B2324E"/>
    <w:rsid w:val="00B26C5C"/>
    <w:rsid w:val="00B46079"/>
    <w:rsid w:val="00B470BC"/>
    <w:rsid w:val="00B60B0A"/>
    <w:rsid w:val="00B6386B"/>
    <w:rsid w:val="00B64C4C"/>
    <w:rsid w:val="00B866F5"/>
    <w:rsid w:val="00BB1DD5"/>
    <w:rsid w:val="00BD1935"/>
    <w:rsid w:val="00BD7B2A"/>
    <w:rsid w:val="00C05469"/>
    <w:rsid w:val="00C05A38"/>
    <w:rsid w:val="00C2264E"/>
    <w:rsid w:val="00C57488"/>
    <w:rsid w:val="00C612D5"/>
    <w:rsid w:val="00CE48FF"/>
    <w:rsid w:val="00D1655A"/>
    <w:rsid w:val="00D27D9F"/>
    <w:rsid w:val="00D32AFD"/>
    <w:rsid w:val="00D43C0D"/>
    <w:rsid w:val="00D45247"/>
    <w:rsid w:val="00D4663C"/>
    <w:rsid w:val="00D66584"/>
    <w:rsid w:val="00D85226"/>
    <w:rsid w:val="00DB17B7"/>
    <w:rsid w:val="00DC5F5E"/>
    <w:rsid w:val="00DD2BDC"/>
    <w:rsid w:val="00E1024B"/>
    <w:rsid w:val="00E16420"/>
    <w:rsid w:val="00E64D9F"/>
    <w:rsid w:val="00E96400"/>
    <w:rsid w:val="00E9688B"/>
    <w:rsid w:val="00EA0954"/>
    <w:rsid w:val="00EB17AE"/>
    <w:rsid w:val="00EC19D3"/>
    <w:rsid w:val="00EF7C5A"/>
    <w:rsid w:val="00F02B4F"/>
    <w:rsid w:val="00F03C27"/>
    <w:rsid w:val="00F26850"/>
    <w:rsid w:val="00F43664"/>
    <w:rsid w:val="00F54952"/>
    <w:rsid w:val="00F758D4"/>
    <w:rsid w:val="00F94479"/>
    <w:rsid w:val="00FA7E78"/>
    <w:rsid w:val="00FD685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6F5"/>
    <w:pPr>
      <w:widowControl w:val="0"/>
      <w:autoSpaceDE w:val="0"/>
      <w:autoSpaceDN w:val="0"/>
      <w:adjustRightInd w:val="0"/>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83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923E64"/>
    <w:pPr>
      <w:tabs>
        <w:tab w:val="center" w:pos="4536"/>
        <w:tab w:val="right" w:pos="9072"/>
      </w:tabs>
    </w:pPr>
  </w:style>
  <w:style w:type="character" w:customStyle="1" w:styleId="stbilgiChar">
    <w:name w:val="Üstbilgi Char"/>
    <w:basedOn w:val="VarsaylanParagrafYazTipi"/>
    <w:link w:val="stbilgi"/>
    <w:locked/>
    <w:rsid w:val="00923E64"/>
    <w:rPr>
      <w:rFonts w:ascii="Arial" w:hAnsi="Arial" w:cs="Arial"/>
      <w:sz w:val="20"/>
      <w:szCs w:val="20"/>
    </w:rPr>
  </w:style>
  <w:style w:type="paragraph" w:styleId="Altbilgi">
    <w:name w:val="footer"/>
    <w:basedOn w:val="Normal"/>
    <w:link w:val="AltbilgiChar"/>
    <w:uiPriority w:val="99"/>
    <w:unhideWhenUsed/>
    <w:rsid w:val="00923E64"/>
    <w:pPr>
      <w:tabs>
        <w:tab w:val="center" w:pos="4536"/>
        <w:tab w:val="right" w:pos="9072"/>
      </w:tabs>
    </w:pPr>
  </w:style>
  <w:style w:type="character" w:customStyle="1" w:styleId="AltbilgiChar">
    <w:name w:val="Altbilgi Char"/>
    <w:basedOn w:val="VarsaylanParagrafYazTipi"/>
    <w:link w:val="Altbilgi"/>
    <w:uiPriority w:val="99"/>
    <w:locked/>
    <w:rsid w:val="00923E64"/>
    <w:rPr>
      <w:rFonts w:ascii="Arial" w:hAnsi="Arial" w:cs="Arial"/>
      <w:sz w:val="20"/>
      <w:szCs w:val="20"/>
    </w:rPr>
  </w:style>
  <w:style w:type="paragraph" w:customStyle="1" w:styleId="Style11">
    <w:name w:val="Style11"/>
    <w:basedOn w:val="Normal"/>
    <w:uiPriority w:val="99"/>
    <w:rsid w:val="008A5077"/>
    <w:pPr>
      <w:spacing w:line="187" w:lineRule="exact"/>
      <w:jc w:val="both"/>
    </w:pPr>
    <w:rPr>
      <w:rFonts w:ascii="Verdana" w:hAnsi="Verdana" w:cs="Times New Roman"/>
      <w:sz w:val="24"/>
      <w:szCs w:val="24"/>
    </w:rPr>
  </w:style>
  <w:style w:type="character" w:customStyle="1" w:styleId="FontStyle19">
    <w:name w:val="Font Style19"/>
    <w:basedOn w:val="VarsaylanParagrafYazTipi"/>
    <w:uiPriority w:val="99"/>
    <w:rsid w:val="008A5077"/>
    <w:rPr>
      <w:rFonts w:ascii="Verdana" w:hAnsi="Verdana" w:cs="Verdana"/>
      <w:color w:val="000000"/>
      <w:sz w:val="10"/>
      <w:szCs w:val="10"/>
    </w:rPr>
  </w:style>
  <w:style w:type="character" w:styleId="Kpr">
    <w:name w:val="Hyperlink"/>
    <w:basedOn w:val="VarsaylanParagrafYazTipi"/>
    <w:rsid w:val="002C04A9"/>
    <w:rPr>
      <w:color w:val="0000FF"/>
      <w:u w:val="single"/>
    </w:rPr>
  </w:style>
  <w:style w:type="paragraph" w:customStyle="1" w:styleId="Default">
    <w:name w:val="Default"/>
    <w:rsid w:val="00851BD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c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ufam@titc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D8A2B-F9D9-4B29-B89F-1EB7D695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5420</Words>
  <Characters>30899</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omumcuoglu</dc:creator>
  <cp:keywords/>
  <dc:description/>
  <cp:lastModifiedBy>mozdogan</cp:lastModifiedBy>
  <cp:revision>43</cp:revision>
  <cp:lastPrinted>2014-12-23T07:21:00Z</cp:lastPrinted>
  <dcterms:created xsi:type="dcterms:W3CDTF">2012-09-04T10:51:00Z</dcterms:created>
  <dcterms:modified xsi:type="dcterms:W3CDTF">2014-12-23T07:22:00Z</dcterms:modified>
</cp:coreProperties>
</file>