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FF" w:rsidRPr="00DA7B15" w:rsidRDefault="008A57FF" w:rsidP="00AA1814">
      <w:pPr>
        <w:shd w:val="clear" w:color="auto" w:fill="FFFFFF"/>
        <w:spacing w:line="360" w:lineRule="auto"/>
        <w:ind w:left="142"/>
        <w:jc w:val="center"/>
        <w:rPr>
          <w:rFonts w:ascii="Times New Roman" w:hAnsi="Times New Roman" w:cs="Times New Roman"/>
          <w:b/>
          <w:sz w:val="24"/>
          <w:szCs w:val="24"/>
        </w:rPr>
      </w:pPr>
      <w:r w:rsidRPr="00DA7B15">
        <w:rPr>
          <w:rFonts w:ascii="Times New Roman" w:hAnsi="Times New Roman" w:cs="Times New Roman"/>
          <w:b/>
          <w:sz w:val="24"/>
          <w:szCs w:val="24"/>
        </w:rPr>
        <w:t>KISA ÜRÜN BİLGİLER</w:t>
      </w:r>
      <w:r w:rsidR="00F621C2" w:rsidRPr="00DA7B15">
        <w:rPr>
          <w:rFonts w:ascii="Times New Roman" w:hAnsi="Times New Roman" w:cs="Times New Roman"/>
          <w:b/>
          <w:sz w:val="24"/>
          <w:szCs w:val="24"/>
        </w:rPr>
        <w:t>İ</w:t>
      </w:r>
    </w:p>
    <w:p w:rsidR="008A57FF" w:rsidRPr="00DA7B15" w:rsidRDefault="008A57FF" w:rsidP="00AA1814">
      <w:pPr>
        <w:shd w:val="clear" w:color="auto" w:fill="FFFFFF"/>
        <w:spacing w:line="360" w:lineRule="auto"/>
        <w:ind w:left="142"/>
        <w:jc w:val="both"/>
        <w:rPr>
          <w:rFonts w:ascii="Times New Roman" w:hAnsi="Times New Roman" w:cs="Times New Roman"/>
          <w:b/>
          <w:sz w:val="24"/>
          <w:szCs w:val="24"/>
        </w:rPr>
      </w:pPr>
    </w:p>
    <w:p w:rsidR="0065437C" w:rsidRPr="00DA7B15" w:rsidRDefault="0065437C" w:rsidP="00B04756">
      <w:pPr>
        <w:pStyle w:val="ListeParagraf"/>
        <w:numPr>
          <w:ilvl w:val="0"/>
          <w:numId w:val="16"/>
        </w:numPr>
        <w:shd w:val="clear" w:color="auto" w:fill="FFFFFF"/>
        <w:spacing w:line="360" w:lineRule="auto"/>
        <w:jc w:val="both"/>
        <w:rPr>
          <w:rFonts w:ascii="Times New Roman" w:hAnsi="Times New Roman" w:cs="Times New Roman"/>
          <w:b/>
          <w:sz w:val="24"/>
          <w:szCs w:val="24"/>
        </w:rPr>
      </w:pPr>
      <w:r w:rsidRPr="00DA7B15">
        <w:rPr>
          <w:rFonts w:ascii="Times New Roman" w:hAnsi="Times New Roman" w:cs="Times New Roman"/>
          <w:b/>
          <w:sz w:val="24"/>
          <w:szCs w:val="24"/>
        </w:rPr>
        <w:t>BEŞERİ TIBBİ ÜRÜNÜN ADI</w:t>
      </w:r>
    </w:p>
    <w:p w:rsidR="0065437C" w:rsidRPr="00DA7B15" w:rsidRDefault="00831252" w:rsidP="00AA1814">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KETAVEL</w:t>
      </w:r>
      <w:r w:rsidR="0050060D" w:rsidRPr="00DA7B15">
        <w:rPr>
          <w:rFonts w:ascii="Times New Roman" w:hAnsi="Times New Roman" w:cs="Times New Roman"/>
          <w:sz w:val="24"/>
          <w:szCs w:val="24"/>
        </w:rPr>
        <w:t xml:space="preserve"> 25 mg </w:t>
      </w:r>
      <w:r w:rsidR="00791F66" w:rsidRPr="00DA7B15">
        <w:rPr>
          <w:rFonts w:ascii="Times New Roman" w:hAnsi="Times New Roman" w:cs="Times New Roman"/>
          <w:sz w:val="24"/>
          <w:szCs w:val="24"/>
        </w:rPr>
        <w:t>f</w:t>
      </w:r>
      <w:r w:rsidR="0050060D" w:rsidRPr="00DA7B15">
        <w:rPr>
          <w:rFonts w:ascii="Times New Roman" w:hAnsi="Times New Roman" w:cs="Times New Roman"/>
          <w:sz w:val="24"/>
          <w:szCs w:val="24"/>
        </w:rPr>
        <w:t xml:space="preserve">ilm </w:t>
      </w:r>
      <w:r w:rsidR="00791F66" w:rsidRPr="00DA7B15">
        <w:rPr>
          <w:rFonts w:ascii="Times New Roman" w:hAnsi="Times New Roman" w:cs="Times New Roman"/>
          <w:sz w:val="24"/>
          <w:szCs w:val="24"/>
        </w:rPr>
        <w:t>t</w:t>
      </w:r>
      <w:r w:rsidR="0050060D" w:rsidRPr="00DA7B15">
        <w:rPr>
          <w:rFonts w:ascii="Times New Roman" w:hAnsi="Times New Roman" w:cs="Times New Roman"/>
          <w:sz w:val="24"/>
          <w:szCs w:val="24"/>
        </w:rPr>
        <w:t>ablet</w:t>
      </w:r>
    </w:p>
    <w:p w:rsidR="0065437C" w:rsidRPr="00DA7B15" w:rsidRDefault="0065437C" w:rsidP="00AA1814">
      <w:pPr>
        <w:shd w:val="clear" w:color="auto" w:fill="FFFFFF"/>
        <w:spacing w:line="360" w:lineRule="auto"/>
        <w:ind w:left="142"/>
        <w:jc w:val="both"/>
        <w:rPr>
          <w:rFonts w:ascii="Times New Roman" w:hAnsi="Times New Roman" w:cs="Times New Roman"/>
          <w:sz w:val="24"/>
          <w:szCs w:val="24"/>
        </w:rPr>
      </w:pPr>
    </w:p>
    <w:p w:rsidR="0065437C" w:rsidRPr="00DA7B15" w:rsidRDefault="0065437C" w:rsidP="00B04756">
      <w:pPr>
        <w:pStyle w:val="ListeParagraf"/>
        <w:numPr>
          <w:ilvl w:val="0"/>
          <w:numId w:val="16"/>
        </w:numPr>
        <w:shd w:val="clear" w:color="auto" w:fill="FFFFFF"/>
        <w:spacing w:line="360" w:lineRule="auto"/>
        <w:jc w:val="both"/>
        <w:rPr>
          <w:rFonts w:ascii="Times New Roman" w:hAnsi="Times New Roman" w:cs="Times New Roman"/>
          <w:b/>
          <w:sz w:val="24"/>
          <w:szCs w:val="24"/>
        </w:rPr>
      </w:pPr>
      <w:r w:rsidRPr="00DA7B15">
        <w:rPr>
          <w:rFonts w:ascii="Times New Roman" w:hAnsi="Times New Roman" w:cs="Times New Roman"/>
          <w:b/>
          <w:sz w:val="24"/>
          <w:szCs w:val="24"/>
        </w:rPr>
        <w:t>KALİTATİF VE KANTİTATİF BİLEŞİM</w:t>
      </w:r>
    </w:p>
    <w:p w:rsidR="00791F66" w:rsidRPr="00DA7B15" w:rsidRDefault="00791F66"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Her bir tablette;</w:t>
      </w:r>
    </w:p>
    <w:p w:rsidR="0050060D" w:rsidRPr="00DA7B15" w:rsidRDefault="00CA5F24"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b/>
          <w:sz w:val="24"/>
          <w:szCs w:val="24"/>
        </w:rPr>
        <w:t>Etkin madde:</w:t>
      </w:r>
      <w:r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Deksketoprofen 25 mg (25 mg deksketoprofen</w:t>
      </w:r>
      <w:r w:rsidR="00791F66" w:rsidRPr="00DA7B15">
        <w:rPr>
          <w:rFonts w:ascii="Times New Roman" w:hAnsi="Times New Roman" w:cs="Times New Roman"/>
          <w:sz w:val="24"/>
          <w:szCs w:val="24"/>
        </w:rPr>
        <w:t>’</w:t>
      </w:r>
      <w:r w:rsidR="0050060D" w:rsidRPr="00DA7B15">
        <w:rPr>
          <w:rFonts w:ascii="Times New Roman" w:hAnsi="Times New Roman" w:cs="Times New Roman"/>
          <w:sz w:val="24"/>
          <w:szCs w:val="24"/>
        </w:rPr>
        <w:t xml:space="preserve">e eşdeğer </w:t>
      </w:r>
      <w:proofErr w:type="gramStart"/>
      <w:r w:rsidR="0050060D" w:rsidRPr="00DA7B15">
        <w:rPr>
          <w:rFonts w:ascii="Times New Roman" w:hAnsi="Times New Roman" w:cs="Times New Roman"/>
          <w:sz w:val="24"/>
          <w:szCs w:val="24"/>
        </w:rPr>
        <w:t>36.</w:t>
      </w:r>
      <w:r w:rsidR="00791F66" w:rsidRPr="00DA7B15">
        <w:rPr>
          <w:rFonts w:ascii="Times New Roman" w:hAnsi="Times New Roman" w:cs="Times New Roman"/>
          <w:sz w:val="24"/>
          <w:szCs w:val="24"/>
        </w:rPr>
        <w:t>9</w:t>
      </w:r>
      <w:proofErr w:type="gramEnd"/>
      <w:r w:rsidR="00791F66" w:rsidRPr="00DA7B15">
        <w:rPr>
          <w:rFonts w:ascii="Times New Roman" w:hAnsi="Times New Roman" w:cs="Times New Roman"/>
          <w:sz w:val="24"/>
          <w:szCs w:val="24"/>
        </w:rPr>
        <w:t xml:space="preserve"> mg deksketoprofen trometamol)</w:t>
      </w:r>
    </w:p>
    <w:p w:rsidR="00791F66" w:rsidRPr="00DA7B15" w:rsidRDefault="0050060D" w:rsidP="00791F66">
      <w:pPr>
        <w:shd w:val="clear" w:color="auto" w:fill="FFFFFF"/>
        <w:tabs>
          <w:tab w:val="left" w:pos="2268"/>
        </w:tabs>
        <w:spacing w:line="360" w:lineRule="auto"/>
        <w:ind w:left="142"/>
        <w:jc w:val="both"/>
        <w:rPr>
          <w:rFonts w:ascii="Times New Roman" w:hAnsi="Times New Roman" w:cs="Times New Roman"/>
          <w:sz w:val="24"/>
          <w:szCs w:val="24"/>
        </w:rPr>
      </w:pPr>
      <w:r w:rsidRPr="00DA7B15">
        <w:rPr>
          <w:rFonts w:ascii="Times New Roman" w:hAnsi="Times New Roman" w:cs="Times New Roman"/>
          <w:b/>
          <w:sz w:val="24"/>
          <w:szCs w:val="24"/>
        </w:rPr>
        <w:t>Yardımcı maddeler:</w:t>
      </w:r>
    </w:p>
    <w:p w:rsidR="0050060D" w:rsidRPr="00DA7B15" w:rsidRDefault="00CB676A" w:rsidP="00791F66">
      <w:pPr>
        <w:shd w:val="clear" w:color="auto" w:fill="FFFFFF"/>
        <w:tabs>
          <w:tab w:val="right" w:pos="4253"/>
        </w:tabs>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Sodyum n</w:t>
      </w:r>
      <w:r w:rsidR="0050060D" w:rsidRPr="00DA7B15">
        <w:rPr>
          <w:rFonts w:ascii="Times New Roman" w:hAnsi="Times New Roman" w:cs="Times New Roman"/>
          <w:sz w:val="24"/>
          <w:szCs w:val="24"/>
        </w:rPr>
        <w:t xml:space="preserve">işasta </w:t>
      </w:r>
      <w:r w:rsidRPr="00DA7B15">
        <w:rPr>
          <w:rFonts w:ascii="Times New Roman" w:hAnsi="Times New Roman" w:cs="Times New Roman"/>
          <w:sz w:val="24"/>
          <w:szCs w:val="24"/>
        </w:rPr>
        <w:t>g</w:t>
      </w:r>
      <w:r w:rsidR="0050060D" w:rsidRPr="00DA7B15">
        <w:rPr>
          <w:rFonts w:ascii="Times New Roman" w:hAnsi="Times New Roman" w:cs="Times New Roman"/>
          <w:sz w:val="24"/>
          <w:szCs w:val="24"/>
        </w:rPr>
        <w:t>likolat</w:t>
      </w:r>
      <w:r w:rsidR="00791F66" w:rsidRPr="00DA7B15">
        <w:rPr>
          <w:rFonts w:ascii="Times New Roman" w:hAnsi="Times New Roman" w:cs="Times New Roman"/>
          <w:sz w:val="24"/>
          <w:szCs w:val="24"/>
          <w:u w:val="dotted"/>
        </w:rPr>
        <w:tab/>
      </w:r>
      <w:proofErr w:type="gramStart"/>
      <w:r w:rsidR="0050060D" w:rsidRPr="00DA7B15">
        <w:rPr>
          <w:rFonts w:ascii="Times New Roman" w:hAnsi="Times New Roman" w:cs="Times New Roman"/>
          <w:sz w:val="24"/>
          <w:szCs w:val="24"/>
        </w:rPr>
        <w:t>10.4</w:t>
      </w:r>
      <w:proofErr w:type="gramEnd"/>
      <w:r w:rsidR="0050060D" w:rsidRPr="00DA7B15">
        <w:rPr>
          <w:rFonts w:ascii="Times New Roman" w:hAnsi="Times New Roman" w:cs="Times New Roman"/>
          <w:sz w:val="24"/>
          <w:szCs w:val="24"/>
        </w:rPr>
        <w:t xml:space="preserve"> mg</w:t>
      </w:r>
    </w:p>
    <w:p w:rsidR="00791F66" w:rsidRPr="00DA7B15" w:rsidRDefault="00791F66" w:rsidP="00791F66">
      <w:pPr>
        <w:shd w:val="clear" w:color="auto" w:fill="FFFFFF"/>
        <w:tabs>
          <w:tab w:val="right" w:pos="4253"/>
        </w:tabs>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Gliserol monostearat</w:t>
      </w:r>
      <w:r w:rsidRPr="00DA7B15">
        <w:rPr>
          <w:rFonts w:ascii="Times New Roman" w:hAnsi="Times New Roman" w:cs="Times New Roman"/>
          <w:sz w:val="24"/>
          <w:szCs w:val="24"/>
          <w:u w:val="dotted"/>
        </w:rPr>
        <w:tab/>
      </w:r>
      <w:proofErr w:type="gramStart"/>
      <w:r w:rsidRPr="00DA7B15">
        <w:rPr>
          <w:rFonts w:ascii="Times New Roman" w:hAnsi="Times New Roman" w:cs="Times New Roman"/>
          <w:sz w:val="24"/>
          <w:szCs w:val="24"/>
        </w:rPr>
        <w:t>7.8</w:t>
      </w:r>
      <w:proofErr w:type="gramEnd"/>
      <w:r w:rsidRPr="00DA7B15">
        <w:rPr>
          <w:rFonts w:ascii="Times New Roman" w:hAnsi="Times New Roman" w:cs="Times New Roman"/>
          <w:sz w:val="24"/>
          <w:szCs w:val="24"/>
        </w:rPr>
        <w:t xml:space="preserve"> mg</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Yardımcı maddeler için </w:t>
      </w:r>
      <w:proofErr w:type="gramStart"/>
      <w:r w:rsidRPr="00DA7B15">
        <w:rPr>
          <w:rFonts w:ascii="Times New Roman" w:hAnsi="Times New Roman" w:cs="Times New Roman"/>
          <w:sz w:val="24"/>
          <w:szCs w:val="24"/>
        </w:rPr>
        <w:t>6.1</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e</w:t>
      </w:r>
      <w:proofErr w:type="gramEnd"/>
      <w:r w:rsidRPr="00DA7B15">
        <w:rPr>
          <w:rFonts w:ascii="Times New Roman" w:hAnsi="Times New Roman" w:cs="Times New Roman"/>
          <w:sz w:val="24"/>
          <w:szCs w:val="24"/>
        </w:rPr>
        <w:t xml:space="preserve"> bakınız.</w:t>
      </w:r>
    </w:p>
    <w:p w:rsidR="00CA5F24" w:rsidRPr="00DA7B15" w:rsidRDefault="00CA5F24" w:rsidP="00CA5F24">
      <w:pPr>
        <w:shd w:val="clear" w:color="auto" w:fill="FFFFFF"/>
        <w:spacing w:line="360" w:lineRule="auto"/>
        <w:ind w:left="142"/>
        <w:jc w:val="both"/>
        <w:rPr>
          <w:rFonts w:ascii="Times New Roman" w:hAnsi="Times New Roman" w:cs="Times New Roman"/>
          <w:sz w:val="24"/>
          <w:szCs w:val="24"/>
        </w:rPr>
      </w:pPr>
    </w:p>
    <w:p w:rsidR="00CA5F24" w:rsidRPr="00DA7B15" w:rsidRDefault="00CA5F24" w:rsidP="001A150D">
      <w:pPr>
        <w:pStyle w:val="ListeParagraf"/>
        <w:numPr>
          <w:ilvl w:val="0"/>
          <w:numId w:val="16"/>
        </w:numPr>
        <w:shd w:val="clear" w:color="auto" w:fill="FFFFFF"/>
        <w:spacing w:line="360" w:lineRule="auto"/>
        <w:jc w:val="both"/>
        <w:rPr>
          <w:rFonts w:ascii="Times New Roman" w:hAnsi="Times New Roman" w:cs="Times New Roman"/>
          <w:b/>
          <w:sz w:val="24"/>
          <w:szCs w:val="24"/>
        </w:rPr>
      </w:pPr>
      <w:r w:rsidRPr="00DA7B15">
        <w:rPr>
          <w:rFonts w:ascii="Times New Roman" w:hAnsi="Times New Roman" w:cs="Times New Roman"/>
          <w:b/>
          <w:sz w:val="24"/>
          <w:szCs w:val="24"/>
        </w:rPr>
        <w:t>FARMASÖTİK FORM</w:t>
      </w:r>
    </w:p>
    <w:p w:rsidR="007E64BB" w:rsidRPr="00DA7B15" w:rsidRDefault="007E64BB" w:rsidP="007E64BB">
      <w:pPr>
        <w:shd w:val="clear" w:color="auto" w:fill="FFFFFF"/>
        <w:spacing w:line="360" w:lineRule="auto"/>
        <w:ind w:left="142"/>
        <w:jc w:val="both"/>
        <w:rPr>
          <w:rFonts w:ascii="Times New Roman" w:hAnsi="Times New Roman" w:cs="Times New Roman"/>
          <w:sz w:val="24"/>
          <w:szCs w:val="24"/>
        </w:rPr>
      </w:pPr>
      <w:proofErr w:type="gramStart"/>
      <w:r w:rsidRPr="00DA7B15">
        <w:rPr>
          <w:rFonts w:ascii="Times New Roman" w:hAnsi="Times New Roman" w:cs="Times New Roman"/>
          <w:sz w:val="24"/>
          <w:szCs w:val="24"/>
        </w:rPr>
        <w:t>Film kaplı tablet.</w:t>
      </w:r>
      <w:proofErr w:type="gramEnd"/>
    </w:p>
    <w:p w:rsidR="007E64BB" w:rsidRPr="00DA7B15" w:rsidRDefault="007E64BB" w:rsidP="007E64BB">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Yuvarlak, bikonveks, çentikli beyaz film kaplı tablet. </w:t>
      </w:r>
    </w:p>
    <w:p w:rsidR="00AB67AB" w:rsidRPr="00DA7B15" w:rsidRDefault="00AB67AB" w:rsidP="00CA5F24">
      <w:pPr>
        <w:shd w:val="clear" w:color="auto" w:fill="FFFFFF"/>
        <w:spacing w:line="360" w:lineRule="auto"/>
        <w:ind w:left="142"/>
        <w:jc w:val="both"/>
        <w:rPr>
          <w:rFonts w:ascii="Times New Roman" w:hAnsi="Times New Roman" w:cs="Times New Roman"/>
          <w:sz w:val="24"/>
          <w:szCs w:val="24"/>
        </w:rPr>
      </w:pPr>
    </w:p>
    <w:p w:rsidR="00CA5F24" w:rsidRPr="00DA7B15" w:rsidRDefault="001A150D" w:rsidP="001A150D">
      <w:pPr>
        <w:shd w:val="clear" w:color="auto" w:fill="FFFFFF"/>
        <w:spacing w:line="360" w:lineRule="auto"/>
        <w:ind w:left="499" w:hanging="357"/>
        <w:jc w:val="both"/>
        <w:rPr>
          <w:rFonts w:ascii="Times New Roman" w:hAnsi="Times New Roman" w:cs="Times New Roman"/>
          <w:b/>
          <w:sz w:val="24"/>
          <w:szCs w:val="24"/>
        </w:rPr>
      </w:pPr>
      <w:r w:rsidRPr="00DA7B15">
        <w:rPr>
          <w:rFonts w:ascii="Times New Roman" w:hAnsi="Times New Roman" w:cs="Times New Roman"/>
          <w:b/>
          <w:sz w:val="24"/>
          <w:szCs w:val="24"/>
        </w:rPr>
        <w:t>4.</w:t>
      </w:r>
      <w:r w:rsidRPr="00DA7B15">
        <w:rPr>
          <w:rFonts w:ascii="Times New Roman" w:hAnsi="Times New Roman" w:cs="Times New Roman"/>
          <w:b/>
          <w:sz w:val="24"/>
          <w:szCs w:val="24"/>
        </w:rPr>
        <w:tab/>
      </w:r>
      <w:r w:rsidR="00CA5F24" w:rsidRPr="00DA7B15">
        <w:rPr>
          <w:rFonts w:ascii="Times New Roman" w:hAnsi="Times New Roman" w:cs="Times New Roman"/>
          <w:b/>
          <w:sz w:val="24"/>
          <w:szCs w:val="24"/>
        </w:rPr>
        <w:t>KLİNİK ÖZELLİKLER</w:t>
      </w:r>
    </w:p>
    <w:p w:rsidR="00CA5F24" w:rsidRPr="00DA7B15" w:rsidRDefault="001A150D" w:rsidP="00CA5F2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4.1</w:t>
      </w:r>
      <w:r w:rsidR="00CA5F24" w:rsidRPr="00DA7B15">
        <w:rPr>
          <w:rFonts w:ascii="Times New Roman" w:hAnsi="Times New Roman" w:cs="Times New Roman"/>
          <w:b/>
          <w:sz w:val="24"/>
          <w:szCs w:val="24"/>
        </w:rPr>
        <w:tab/>
        <w:t>Terapötik endikasyonlar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Erişkinlerde kas-iskelet sistemi ağrıları, dismenore ve diş ağrılarının semptomatik tedavisinde kullanılır.</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1A15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4.2</w:t>
      </w:r>
      <w:r w:rsidR="007E64BB" w:rsidRPr="00DA7B15">
        <w:rPr>
          <w:rFonts w:ascii="Times New Roman" w:hAnsi="Times New Roman" w:cs="Times New Roman"/>
          <w:b/>
          <w:sz w:val="24"/>
          <w:szCs w:val="24"/>
        </w:rPr>
        <w:tab/>
        <w:t>Pozoloji</w:t>
      </w:r>
      <w:r w:rsidR="0050060D" w:rsidRPr="00DA7B15">
        <w:rPr>
          <w:rFonts w:ascii="Times New Roman" w:hAnsi="Times New Roman" w:cs="Times New Roman"/>
          <w:b/>
          <w:sz w:val="24"/>
          <w:szCs w:val="24"/>
        </w:rPr>
        <w:t xml:space="preserve"> ve uygulama şekli</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Pozo</w:t>
      </w:r>
      <w:r w:rsidR="007E64BB" w:rsidRPr="00DA7B15">
        <w:rPr>
          <w:rFonts w:ascii="Times New Roman" w:hAnsi="Times New Roman" w:cs="Times New Roman"/>
          <w:b/>
          <w:sz w:val="24"/>
          <w:szCs w:val="24"/>
        </w:rPr>
        <w:t>l</w:t>
      </w:r>
      <w:r w:rsidRPr="00DA7B15">
        <w:rPr>
          <w:rFonts w:ascii="Times New Roman" w:hAnsi="Times New Roman" w:cs="Times New Roman"/>
          <w:b/>
          <w:sz w:val="24"/>
          <w:szCs w:val="24"/>
        </w:rPr>
        <w:t>oji/uygulama sıklığı ve süresi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Oral kullanım içindir.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 xml:space="preserve">Genel </w:t>
      </w:r>
      <w:proofErr w:type="gramStart"/>
      <w:r w:rsidRPr="00DA7B15">
        <w:rPr>
          <w:rFonts w:ascii="Times New Roman" w:hAnsi="Times New Roman" w:cs="Times New Roman"/>
          <w:b/>
          <w:sz w:val="24"/>
          <w:szCs w:val="24"/>
        </w:rPr>
        <w:t>Popülasyon</w:t>
      </w:r>
      <w:proofErr w:type="gramEnd"/>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Ağrının cinsine ve şiddetine göre önerilen doz genellikle her 4-6 saatte bir </w:t>
      </w:r>
      <w:proofErr w:type="gramStart"/>
      <w:r w:rsidRPr="00DA7B15">
        <w:rPr>
          <w:rFonts w:ascii="Times New Roman" w:hAnsi="Times New Roman" w:cs="Times New Roman"/>
          <w:sz w:val="24"/>
          <w:szCs w:val="24"/>
        </w:rPr>
        <w:t>12.5</w:t>
      </w:r>
      <w:proofErr w:type="gramEnd"/>
      <w:r w:rsidRPr="00DA7B15">
        <w:rPr>
          <w:rFonts w:ascii="Times New Roman" w:hAnsi="Times New Roman" w:cs="Times New Roman"/>
          <w:sz w:val="24"/>
          <w:szCs w:val="24"/>
        </w:rPr>
        <w:t xml:space="preserve"> mg veya 8 saatte bir 25 mg</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dır. Günlük toplam</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doz 75 mg</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ı geçmemelidir.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Semptomları kontrol etmede gerekli olan en kısa süre için etkili olan en düşük dozu kullanarak istenmeyen etkiler en aza indirilebilir (bkz. </w:t>
      </w:r>
      <w:r w:rsidR="00791F66" w:rsidRPr="00DA7B15">
        <w:rPr>
          <w:rFonts w:ascii="Times New Roman" w:hAnsi="Times New Roman" w:cs="Times New Roman"/>
          <w:sz w:val="24"/>
          <w:szCs w:val="24"/>
        </w:rPr>
        <w:t>B</w:t>
      </w:r>
      <w:r w:rsidR="007E64BB" w:rsidRPr="00DA7B15">
        <w:rPr>
          <w:rFonts w:ascii="Times New Roman" w:hAnsi="Times New Roman" w:cs="Times New Roman"/>
          <w:sz w:val="24"/>
          <w:szCs w:val="24"/>
        </w:rPr>
        <w:t>ölü</w:t>
      </w:r>
      <w:r w:rsidRPr="00DA7B15">
        <w:rPr>
          <w:rFonts w:ascii="Times New Roman" w:hAnsi="Times New Roman" w:cs="Times New Roman"/>
          <w:sz w:val="24"/>
          <w:szCs w:val="24"/>
        </w:rPr>
        <w:t xml:space="preserve">m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w:t>
      </w:r>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KETAVEL</w:t>
      </w:r>
      <w:r w:rsidR="0050060D" w:rsidRPr="00DA7B15">
        <w:rPr>
          <w:rFonts w:ascii="Times New Roman" w:hAnsi="Times New Roman" w:cs="Times New Roman"/>
          <w:sz w:val="24"/>
          <w:szCs w:val="24"/>
        </w:rPr>
        <w:t xml:space="preserve"> uzun süreli kullanım için düşünülmemelidir ve tedavi semptomatik dönem ile sınırlandırılmalıdır.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lastRenderedPageBreak/>
        <w:t>Uygulama şekli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Tüm </w:t>
      </w:r>
      <w:proofErr w:type="spellStart"/>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w:t>
      </w:r>
      <w:proofErr w:type="spellEnd"/>
      <w:r w:rsidRPr="00DA7B15">
        <w:rPr>
          <w:rFonts w:ascii="Times New Roman" w:hAnsi="Times New Roman" w:cs="Times New Roman"/>
          <w:sz w:val="24"/>
          <w:szCs w:val="24"/>
        </w:rPr>
        <w:t xml:space="preserve"> gibi </w:t>
      </w:r>
      <w:r w:rsidR="00831252">
        <w:rPr>
          <w:rFonts w:ascii="Times New Roman" w:hAnsi="Times New Roman" w:cs="Times New Roman"/>
          <w:sz w:val="24"/>
          <w:szCs w:val="24"/>
        </w:rPr>
        <w:t>KETAVEL</w:t>
      </w:r>
      <w:r w:rsidRPr="00DA7B15">
        <w:rPr>
          <w:rFonts w:ascii="Times New Roman" w:hAnsi="Times New Roman" w:cs="Times New Roman"/>
          <w:sz w:val="24"/>
          <w:szCs w:val="24"/>
        </w:rPr>
        <w:t xml:space="preserve"> tercihen yemekle birlikte ya da yemekten sonra alınmalıdır. Ancak, yiyeceklerle birlikte uygulama ilacın absorpsiyon hızını geciktirdiği için (</w:t>
      </w:r>
      <w:r w:rsidR="00791F66" w:rsidRPr="00DA7B15">
        <w:rPr>
          <w:rFonts w:ascii="Times New Roman" w:hAnsi="Times New Roman" w:cs="Times New Roman"/>
          <w:sz w:val="24"/>
          <w:szCs w:val="24"/>
        </w:rPr>
        <w:t>bkz.</w:t>
      </w:r>
      <w:r w:rsidRPr="00DA7B15">
        <w:rPr>
          <w:rFonts w:ascii="Times New Roman" w:hAnsi="Times New Roman" w:cs="Times New Roman"/>
          <w:sz w:val="24"/>
          <w:szCs w:val="24"/>
        </w:rPr>
        <w:t xml:space="preserve"> Farmakokinetik özellikler), akut ağrı durumunda yemeklerden en az 30 dakika önce alınması önerilir.</w:t>
      </w:r>
    </w:p>
    <w:p w:rsidR="008B47B3" w:rsidRPr="00DA7B15" w:rsidRDefault="008B47B3" w:rsidP="0050060D">
      <w:pPr>
        <w:shd w:val="clear" w:color="auto" w:fill="FFFFFF"/>
        <w:spacing w:line="360" w:lineRule="auto"/>
        <w:ind w:left="142"/>
        <w:jc w:val="both"/>
        <w:rPr>
          <w:rFonts w:ascii="Times New Roman" w:hAnsi="Times New Roman" w:cs="Times New Roman"/>
          <w:b/>
          <w:sz w:val="24"/>
          <w:szCs w:val="24"/>
        </w:rPr>
      </w:pPr>
    </w:p>
    <w:p w:rsidR="0050060D" w:rsidRPr="00DA7B15" w:rsidRDefault="007E64BB"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 xml:space="preserve">Özel </w:t>
      </w:r>
      <w:proofErr w:type="gramStart"/>
      <w:r w:rsidRPr="00DA7B15">
        <w:rPr>
          <w:rFonts w:ascii="Times New Roman" w:hAnsi="Times New Roman" w:cs="Times New Roman"/>
          <w:b/>
          <w:sz w:val="24"/>
          <w:szCs w:val="24"/>
        </w:rPr>
        <w:t>popü</w:t>
      </w:r>
      <w:r w:rsidR="0050060D" w:rsidRPr="00DA7B15">
        <w:rPr>
          <w:rFonts w:ascii="Times New Roman" w:hAnsi="Times New Roman" w:cs="Times New Roman"/>
          <w:b/>
          <w:sz w:val="24"/>
          <w:szCs w:val="24"/>
        </w:rPr>
        <w:t>lasyonlara</w:t>
      </w:r>
      <w:proofErr w:type="gramEnd"/>
      <w:r w:rsidR="0050060D" w:rsidRPr="00DA7B15">
        <w:rPr>
          <w:rFonts w:ascii="Times New Roman" w:hAnsi="Times New Roman" w:cs="Times New Roman"/>
          <w:b/>
          <w:sz w:val="24"/>
          <w:szCs w:val="24"/>
        </w:rPr>
        <w:t xml:space="preserve"> ilişkin ek bilgiler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Böbrek yetmezliği</w:t>
      </w:r>
      <w:r w:rsidR="00B068DF" w:rsidRPr="00DA7B15">
        <w:rPr>
          <w:rFonts w:ascii="Times New Roman" w:hAnsi="Times New Roman" w:cs="Times New Roman"/>
          <w:b/>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Hafif böbrek fonksiyon bozukluğu olan hastalarda başlangıç dozu 50 mg günlük toplam doza indirilmelidir. </w:t>
      </w:r>
      <w:r w:rsidR="00831252">
        <w:rPr>
          <w:rFonts w:ascii="Times New Roman" w:hAnsi="Times New Roman" w:cs="Times New Roman"/>
          <w:sz w:val="24"/>
          <w:szCs w:val="24"/>
        </w:rPr>
        <w:t>KETAVEL</w:t>
      </w:r>
      <w:r w:rsidRPr="00DA7B15">
        <w:rPr>
          <w:rFonts w:ascii="Times New Roman" w:hAnsi="Times New Roman" w:cs="Times New Roman"/>
          <w:sz w:val="24"/>
          <w:szCs w:val="24"/>
        </w:rPr>
        <w:t xml:space="preserve"> orta ve</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şiddetli böbrek fonksiyon bozukluğu olan hastalarda kullanılmamalıdır.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Karaciğer yetmezliği</w:t>
      </w:r>
      <w:r w:rsidR="00B068DF" w:rsidRPr="00DA7B15">
        <w:rPr>
          <w:rFonts w:ascii="Times New Roman" w:hAnsi="Times New Roman" w:cs="Times New Roman"/>
          <w:b/>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Hafif veya orta derecede karaciğer fonksiyon bozukluğu bulunan hastalar tedaviye düşük dozlarda (50 mg toplam günlük doz)</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 xml:space="preserve">başlamalı ve yakından izlenmelidir. </w:t>
      </w:r>
      <w:r w:rsidR="00831252">
        <w:rPr>
          <w:rFonts w:ascii="Times New Roman" w:hAnsi="Times New Roman" w:cs="Times New Roman"/>
          <w:sz w:val="24"/>
          <w:szCs w:val="24"/>
        </w:rPr>
        <w:t>KETAVEL</w:t>
      </w:r>
      <w:r w:rsidRPr="00DA7B15">
        <w:rPr>
          <w:rFonts w:ascii="Times New Roman" w:hAnsi="Times New Roman" w:cs="Times New Roman"/>
          <w:sz w:val="24"/>
          <w:szCs w:val="24"/>
        </w:rPr>
        <w:t xml:space="preserve"> şiddetli karaciğer fonksiyon bozukluğu olan hastalarda kullanılmamalıdır.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Ped</w:t>
      </w:r>
      <w:r w:rsidR="007E64BB" w:rsidRPr="00DA7B15">
        <w:rPr>
          <w:rFonts w:ascii="Times New Roman" w:hAnsi="Times New Roman" w:cs="Times New Roman"/>
          <w:b/>
          <w:sz w:val="24"/>
          <w:szCs w:val="24"/>
        </w:rPr>
        <w:t>i</w:t>
      </w:r>
      <w:r w:rsidRPr="00DA7B15">
        <w:rPr>
          <w:rFonts w:ascii="Times New Roman" w:hAnsi="Times New Roman" w:cs="Times New Roman"/>
          <w:b/>
          <w:sz w:val="24"/>
          <w:szCs w:val="24"/>
        </w:rPr>
        <w:t xml:space="preserve">yatrik </w:t>
      </w:r>
      <w:proofErr w:type="gramStart"/>
      <w:r w:rsidRPr="00DA7B15">
        <w:rPr>
          <w:rFonts w:ascii="Times New Roman" w:hAnsi="Times New Roman" w:cs="Times New Roman"/>
          <w:b/>
          <w:sz w:val="24"/>
          <w:szCs w:val="24"/>
        </w:rPr>
        <w:t>popülasyon</w:t>
      </w:r>
      <w:proofErr w:type="gramEnd"/>
      <w:r w:rsidR="00B068DF" w:rsidRPr="00DA7B15">
        <w:rPr>
          <w:rFonts w:ascii="Times New Roman" w:hAnsi="Times New Roman" w:cs="Times New Roman"/>
          <w:b/>
          <w:sz w:val="24"/>
          <w:szCs w:val="24"/>
        </w:rPr>
        <w:t>:</w:t>
      </w:r>
    </w:p>
    <w:p w:rsidR="0050060D" w:rsidRPr="00DA7B15" w:rsidRDefault="007E64BB"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Deksketoprofenin</w:t>
      </w:r>
      <w:r w:rsidR="0050060D" w:rsidRPr="00DA7B15">
        <w:rPr>
          <w:rFonts w:ascii="Times New Roman" w:hAnsi="Times New Roman" w:cs="Times New Roman"/>
          <w:sz w:val="24"/>
          <w:szCs w:val="24"/>
        </w:rPr>
        <w:t xml:space="preserve"> çocuklarda ve adolesanlarda yapılmış çalışmaları bulunmamaktadır. Bu nedenle güvenilirliği ve </w:t>
      </w:r>
      <w:r w:rsidRPr="00DA7B15">
        <w:rPr>
          <w:rFonts w:ascii="Times New Roman" w:hAnsi="Times New Roman" w:cs="Times New Roman"/>
          <w:sz w:val="24"/>
          <w:szCs w:val="24"/>
        </w:rPr>
        <w:t>e</w:t>
      </w:r>
      <w:r w:rsidR="0050060D" w:rsidRPr="00DA7B15">
        <w:rPr>
          <w:rFonts w:ascii="Times New Roman" w:hAnsi="Times New Roman" w:cs="Times New Roman"/>
          <w:sz w:val="24"/>
          <w:szCs w:val="24"/>
        </w:rPr>
        <w:t>tkinliği</w:t>
      </w:r>
      <w:r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kanıtlanmamıştır. 18 yaşından küçüklerde kullanılmamalıdır.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 xml:space="preserve">Geriyatrik </w:t>
      </w:r>
      <w:proofErr w:type="gramStart"/>
      <w:r w:rsidRPr="00DA7B15">
        <w:rPr>
          <w:rFonts w:ascii="Times New Roman" w:hAnsi="Times New Roman" w:cs="Times New Roman"/>
          <w:b/>
          <w:sz w:val="24"/>
          <w:szCs w:val="24"/>
        </w:rPr>
        <w:t>popülasyon</w:t>
      </w:r>
      <w:proofErr w:type="gramEnd"/>
      <w:r w:rsidR="00B068DF" w:rsidRPr="00DA7B15">
        <w:rPr>
          <w:rFonts w:ascii="Times New Roman" w:hAnsi="Times New Roman" w:cs="Times New Roman"/>
          <w:b/>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Yaşlı hastalarda tedaviye dozaj aralığının en düşüğünden (50 mg toplam günlük d</w:t>
      </w:r>
      <w:r w:rsidR="007E64BB" w:rsidRPr="00DA7B15">
        <w:rPr>
          <w:rFonts w:ascii="Times New Roman" w:hAnsi="Times New Roman" w:cs="Times New Roman"/>
          <w:sz w:val="24"/>
          <w:szCs w:val="24"/>
        </w:rPr>
        <w:t>oz) başlanması önerilmektedir. İyi</w:t>
      </w:r>
      <w:r w:rsidRPr="00DA7B15">
        <w:rPr>
          <w:rFonts w:ascii="Times New Roman" w:hAnsi="Times New Roman" w:cs="Times New Roman"/>
          <w:sz w:val="24"/>
          <w:szCs w:val="24"/>
        </w:rPr>
        <w:t xml:space="preserve"> tolerans</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 xml:space="preserve">gösterdikleri doğrulandıktan sonra dozaj genel </w:t>
      </w:r>
      <w:proofErr w:type="gramStart"/>
      <w:r w:rsidRPr="00DA7B15">
        <w:rPr>
          <w:rFonts w:ascii="Times New Roman" w:hAnsi="Times New Roman" w:cs="Times New Roman"/>
          <w:sz w:val="24"/>
          <w:szCs w:val="24"/>
        </w:rPr>
        <w:t>popülasyon</w:t>
      </w:r>
      <w:proofErr w:type="gramEnd"/>
      <w:r w:rsidRPr="00DA7B15">
        <w:rPr>
          <w:rFonts w:ascii="Times New Roman" w:hAnsi="Times New Roman" w:cs="Times New Roman"/>
          <w:sz w:val="24"/>
          <w:szCs w:val="24"/>
        </w:rPr>
        <w:t xml:space="preserve"> için önerilen miktarlara yükseltilebilir.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NSAİİ tedavisi sırasında GIS kanaması için hastaların düzenli olarak izlenmesi gerekir.</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1A150D" w:rsidP="001A150D">
      <w:pPr>
        <w:shd w:val="clear" w:color="auto" w:fill="FFFFFF"/>
        <w:spacing w:line="360" w:lineRule="auto"/>
        <w:ind w:left="499" w:hanging="357"/>
        <w:jc w:val="both"/>
        <w:rPr>
          <w:rFonts w:ascii="Times New Roman" w:hAnsi="Times New Roman" w:cs="Times New Roman"/>
          <w:b/>
          <w:sz w:val="24"/>
          <w:szCs w:val="24"/>
        </w:rPr>
      </w:pPr>
      <w:r w:rsidRPr="00DA7B15">
        <w:rPr>
          <w:rFonts w:ascii="Times New Roman" w:hAnsi="Times New Roman" w:cs="Times New Roman"/>
          <w:b/>
          <w:sz w:val="24"/>
          <w:szCs w:val="24"/>
        </w:rPr>
        <w:t>4.3</w:t>
      </w:r>
      <w:r w:rsidRPr="00DA7B15">
        <w:rPr>
          <w:rFonts w:ascii="Times New Roman" w:hAnsi="Times New Roman" w:cs="Times New Roman"/>
          <w:b/>
          <w:sz w:val="24"/>
          <w:szCs w:val="24"/>
        </w:rPr>
        <w:tab/>
      </w:r>
      <w:r w:rsidRPr="00DA7B15">
        <w:rPr>
          <w:rFonts w:ascii="Times New Roman" w:hAnsi="Times New Roman" w:cs="Times New Roman"/>
          <w:b/>
          <w:sz w:val="24"/>
          <w:szCs w:val="24"/>
        </w:rPr>
        <w:tab/>
      </w:r>
      <w:r w:rsidR="0050060D" w:rsidRPr="00DA7B15">
        <w:rPr>
          <w:rFonts w:ascii="Times New Roman" w:hAnsi="Times New Roman" w:cs="Times New Roman"/>
          <w:b/>
          <w:sz w:val="24"/>
          <w:szCs w:val="24"/>
        </w:rPr>
        <w:t>Kontrendikasyonlar</w:t>
      </w:r>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KETAVEL</w:t>
      </w:r>
      <w:r w:rsidR="0050060D" w:rsidRPr="00DA7B15">
        <w:rPr>
          <w:rFonts w:ascii="Times New Roman" w:hAnsi="Times New Roman" w:cs="Times New Roman"/>
          <w:sz w:val="24"/>
          <w:szCs w:val="24"/>
        </w:rPr>
        <w:t xml:space="preserve"> aşağıdaki durumlarda uygulanmamalıdır: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Deksketoprofene, diğer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lere veya üründeki herhangi bir yardımcı maddeye aşırı duyarlılığı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Daha önce ibuprofene, asetilsalisilik as</w:t>
      </w:r>
      <w:r w:rsidR="008128F6" w:rsidRPr="00DA7B15">
        <w:rPr>
          <w:rFonts w:ascii="Times New Roman" w:hAnsi="Times New Roman" w:cs="Times New Roman"/>
          <w:sz w:val="24"/>
          <w:szCs w:val="24"/>
        </w:rPr>
        <w:t>i</w:t>
      </w:r>
      <w:r w:rsidRPr="00DA7B15">
        <w:rPr>
          <w:rFonts w:ascii="Times New Roman" w:hAnsi="Times New Roman" w:cs="Times New Roman"/>
          <w:sz w:val="24"/>
          <w:szCs w:val="24"/>
        </w:rPr>
        <w:t>te ya</w:t>
      </w:r>
      <w:r w:rsidR="008128F6" w:rsidRPr="00DA7B15">
        <w:rPr>
          <w:rFonts w:ascii="Times New Roman" w:hAnsi="Times New Roman" w:cs="Times New Roman"/>
          <w:sz w:val="24"/>
          <w:szCs w:val="24"/>
        </w:rPr>
        <w:t xml:space="preserve"> da diğer non-steroidal antiinf</w:t>
      </w:r>
      <w:r w:rsidRPr="00DA7B15">
        <w:rPr>
          <w:rFonts w:ascii="Times New Roman" w:hAnsi="Times New Roman" w:cs="Times New Roman"/>
          <w:sz w:val="24"/>
          <w:szCs w:val="24"/>
        </w:rPr>
        <w:t>lamatuvar ilaçlara aşırı duyarlılık reaksiyonları</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(örneğin astım, rinit, anjiyoödem veya ürtiker) göstermiş olan hastalarda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kontrendikedir.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Aktif veya şüpheli peptik ülseri/kanaması olan hastalarda veya tekrarlayan pept</w:t>
      </w:r>
      <w:r w:rsidR="00B068DF" w:rsidRPr="00DA7B15">
        <w:rPr>
          <w:rFonts w:ascii="Times New Roman" w:hAnsi="Times New Roman" w:cs="Times New Roman"/>
          <w:sz w:val="24"/>
          <w:szCs w:val="24"/>
        </w:rPr>
        <w:t>i</w:t>
      </w:r>
      <w:r w:rsidRPr="00DA7B15">
        <w:rPr>
          <w:rFonts w:ascii="Times New Roman" w:hAnsi="Times New Roman" w:cs="Times New Roman"/>
          <w:sz w:val="24"/>
          <w:szCs w:val="24"/>
        </w:rPr>
        <w:t xml:space="preserve">k </w:t>
      </w:r>
      <w:r w:rsidRPr="00DA7B15">
        <w:rPr>
          <w:rFonts w:ascii="Times New Roman" w:hAnsi="Times New Roman" w:cs="Times New Roman"/>
          <w:sz w:val="24"/>
          <w:szCs w:val="24"/>
        </w:rPr>
        <w:lastRenderedPageBreak/>
        <w:t>ülser/kanama (kanıtlanmış ülserleşme veya kanamanın iki veya daha fazla farklı episodu) veya kronik dispepsi öyküsü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Bir önceki NSAİİ tedavisi ile ilgili olarak gastrointestinal kanama veya delinme öyküsü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Gastrointestinal kanama veya diğer aktif kanamaları veya kanama bozukluğu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Crohn hastalığı veya ülseratif koliti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Bronşiyal astım öyküsü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Şiddetli kalp yetersizliği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Orta veya şiddetli böbrek fonksiyon bozukluğu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Şiddetli karaciğer fonksiyon bozukluğu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Hemorajik diatezi veya diğer pıhtılaşma bozukluğu olan hastalar,</w:t>
      </w:r>
    </w:p>
    <w:p w:rsidR="0050060D" w:rsidRPr="00DA7B15" w:rsidRDefault="0050060D" w:rsidP="007E64BB">
      <w:pPr>
        <w:pStyle w:val="ListeParagraf"/>
        <w:numPr>
          <w:ilvl w:val="0"/>
          <w:numId w:val="19"/>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 xml:space="preserve">Gebeliğin üçüncü trimesteri boyunca ve laktasyon döneminde (bkz. Bölüm </w:t>
      </w:r>
      <w:proofErr w:type="gramStart"/>
      <w:r w:rsidRPr="00DA7B15">
        <w:rPr>
          <w:rFonts w:ascii="Times New Roman" w:hAnsi="Times New Roman" w:cs="Times New Roman"/>
          <w:sz w:val="24"/>
          <w:szCs w:val="24"/>
        </w:rPr>
        <w:t>4.6</w:t>
      </w:r>
      <w:proofErr w:type="gramEnd"/>
      <w:r w:rsidRPr="00DA7B15">
        <w:rPr>
          <w:rFonts w:ascii="Times New Roman" w:hAnsi="Times New Roman" w:cs="Times New Roman"/>
          <w:sz w:val="24"/>
          <w:szCs w:val="24"/>
        </w:rPr>
        <w:t>).</w:t>
      </w:r>
    </w:p>
    <w:p w:rsidR="007E64BB" w:rsidRPr="00DA7B15" w:rsidRDefault="007E64BB" w:rsidP="007E64BB">
      <w:pPr>
        <w:pStyle w:val="ListeParagraf"/>
        <w:shd w:val="clear" w:color="auto" w:fill="FFFFFF"/>
        <w:spacing w:line="360" w:lineRule="auto"/>
        <w:ind w:left="862"/>
        <w:jc w:val="both"/>
        <w:rPr>
          <w:rFonts w:ascii="Times New Roman" w:hAnsi="Times New Roman" w:cs="Times New Roman"/>
          <w:sz w:val="24"/>
          <w:szCs w:val="24"/>
        </w:rPr>
      </w:pPr>
    </w:p>
    <w:p w:rsidR="0050060D" w:rsidRPr="00DA7B15" w:rsidRDefault="0050060D" w:rsidP="001A15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4.4</w:t>
      </w:r>
      <w:r w:rsidR="001A150D" w:rsidRPr="00DA7B15">
        <w:rPr>
          <w:rFonts w:ascii="Times New Roman" w:hAnsi="Times New Roman" w:cs="Times New Roman"/>
          <w:b/>
          <w:sz w:val="24"/>
          <w:szCs w:val="24"/>
        </w:rPr>
        <w:tab/>
      </w:r>
      <w:r w:rsidRPr="00DA7B15">
        <w:rPr>
          <w:rFonts w:ascii="Times New Roman" w:hAnsi="Times New Roman" w:cs="Times New Roman"/>
          <w:b/>
          <w:sz w:val="24"/>
          <w:szCs w:val="24"/>
        </w:rPr>
        <w:t>Özel kullanım uyarıları ve önlemleri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Çocuklarda ve adolesanlarda kullanım güvenirliliği tes</w:t>
      </w:r>
      <w:r w:rsidR="008B47B3" w:rsidRPr="00DA7B15">
        <w:rPr>
          <w:rFonts w:ascii="Times New Roman" w:hAnsi="Times New Roman" w:cs="Times New Roman"/>
          <w:sz w:val="24"/>
          <w:szCs w:val="24"/>
        </w:rPr>
        <w:t>p</w:t>
      </w:r>
      <w:r w:rsidRPr="00DA7B15">
        <w:rPr>
          <w:rFonts w:ascii="Times New Roman" w:hAnsi="Times New Roman" w:cs="Times New Roman"/>
          <w:sz w:val="24"/>
          <w:szCs w:val="24"/>
        </w:rPr>
        <w:t>it edilmemiştir.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Alerjik durum </w:t>
      </w:r>
      <w:proofErr w:type="gramStart"/>
      <w:r w:rsidRPr="00DA7B15">
        <w:rPr>
          <w:rFonts w:ascii="Times New Roman" w:hAnsi="Times New Roman" w:cs="Times New Roman"/>
          <w:sz w:val="24"/>
          <w:szCs w:val="24"/>
        </w:rPr>
        <w:t>hikayesi</w:t>
      </w:r>
      <w:proofErr w:type="gramEnd"/>
      <w:r w:rsidRPr="00DA7B15">
        <w:rPr>
          <w:rFonts w:ascii="Times New Roman" w:hAnsi="Times New Roman" w:cs="Times New Roman"/>
          <w:sz w:val="24"/>
          <w:szCs w:val="24"/>
        </w:rPr>
        <w:t xml:space="preserve"> olan hastalarda kullanılırken dikkatli olunmalıdır.</w:t>
      </w:r>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KETAVEL</w:t>
      </w:r>
      <w:r w:rsidR="00791F66" w:rsidRPr="00DA7B15">
        <w:rPr>
          <w:rFonts w:ascii="Times New Roman" w:hAnsi="Times New Roman" w:cs="Times New Roman"/>
          <w:sz w:val="24"/>
          <w:szCs w:val="24"/>
        </w:rPr>
        <w:t>’</w:t>
      </w:r>
      <w:r w:rsidR="0050060D" w:rsidRPr="00DA7B15">
        <w:rPr>
          <w:rFonts w:ascii="Times New Roman" w:hAnsi="Times New Roman" w:cs="Times New Roman"/>
          <w:sz w:val="24"/>
          <w:szCs w:val="24"/>
        </w:rPr>
        <w:t>in</w:t>
      </w:r>
      <w:proofErr w:type="spellEnd"/>
      <w:r w:rsidR="0050060D" w:rsidRPr="00DA7B15">
        <w:rPr>
          <w:rFonts w:ascii="Times New Roman" w:hAnsi="Times New Roman" w:cs="Times New Roman"/>
          <w:sz w:val="24"/>
          <w:szCs w:val="24"/>
        </w:rPr>
        <w:t xml:space="preserve">, </w:t>
      </w:r>
      <w:proofErr w:type="spellStart"/>
      <w:r w:rsidR="0050060D" w:rsidRPr="00DA7B15">
        <w:rPr>
          <w:rFonts w:ascii="Times New Roman" w:hAnsi="Times New Roman" w:cs="Times New Roman"/>
          <w:sz w:val="24"/>
          <w:szCs w:val="24"/>
        </w:rPr>
        <w:t>siklooksijenaz</w:t>
      </w:r>
      <w:proofErr w:type="spellEnd"/>
      <w:r w:rsidR="0050060D" w:rsidRPr="00DA7B15">
        <w:rPr>
          <w:rFonts w:ascii="Times New Roman" w:hAnsi="Times New Roman" w:cs="Times New Roman"/>
          <w:sz w:val="24"/>
          <w:szCs w:val="24"/>
        </w:rPr>
        <w:t>-2 seçici inhibitör dahil diğer NSAİİ</w:t>
      </w:r>
      <w:r w:rsidR="00791F66" w:rsidRPr="00DA7B15">
        <w:rPr>
          <w:rFonts w:ascii="Times New Roman" w:hAnsi="Times New Roman" w:cs="Times New Roman"/>
          <w:sz w:val="24"/>
          <w:szCs w:val="24"/>
        </w:rPr>
        <w:t>’</w:t>
      </w:r>
      <w:r w:rsidR="0050060D" w:rsidRPr="00DA7B15">
        <w:rPr>
          <w:rFonts w:ascii="Times New Roman" w:hAnsi="Times New Roman" w:cs="Times New Roman"/>
          <w:sz w:val="24"/>
          <w:szCs w:val="24"/>
        </w:rPr>
        <w:t>ler ile eşzamanlı olarak kullanımından kaçınılmalıdır.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Semptomları kontrol etmekte gerekli olan en kısa süre için etkili olan en düşük dozu kullanılarak istenmeyen etkiler en aza indirilebilir (bkz.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4.2</w:t>
      </w:r>
      <w:proofErr w:type="gramEnd"/>
      <w:r w:rsidRPr="00DA7B15">
        <w:rPr>
          <w:rFonts w:ascii="Times New Roman" w:hAnsi="Times New Roman" w:cs="Times New Roman"/>
          <w:sz w:val="24"/>
          <w:szCs w:val="24"/>
        </w:rPr>
        <w:t xml:space="preserve"> ve aşağıda bulunan gastrointestinal ve kardiovasküler riskler).</w:t>
      </w:r>
    </w:p>
    <w:p w:rsidR="00B068DF" w:rsidRPr="00DA7B15" w:rsidRDefault="00B068DF"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Uyarıcı semptomlar veya ciddi GI olay öyküsü olsun veya olmasın, tedavinin herhangi bir aşamasında, ölümcül olabilen GI kanama, ülserasyon veya perforasyon, tüm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ler ile bildirilmiştir. </w:t>
      </w:r>
      <w:r w:rsidR="00831252">
        <w:rPr>
          <w:rFonts w:ascii="Times New Roman" w:hAnsi="Times New Roman" w:cs="Times New Roman"/>
          <w:sz w:val="24"/>
          <w:szCs w:val="24"/>
        </w:rPr>
        <w:t>KETAVEL</w:t>
      </w:r>
      <w:r w:rsidRPr="00DA7B15">
        <w:rPr>
          <w:rFonts w:ascii="Times New Roman" w:hAnsi="Times New Roman" w:cs="Times New Roman"/>
          <w:sz w:val="24"/>
          <w:szCs w:val="24"/>
        </w:rPr>
        <w:t xml:space="preserve"> alan hastalarda </w:t>
      </w:r>
      <w:proofErr w:type="spellStart"/>
      <w:r w:rsidRPr="00DA7B15">
        <w:rPr>
          <w:rFonts w:ascii="Times New Roman" w:hAnsi="Times New Roman" w:cs="Times New Roman"/>
          <w:sz w:val="24"/>
          <w:szCs w:val="24"/>
        </w:rPr>
        <w:t>gastrointestinal</w:t>
      </w:r>
      <w:proofErr w:type="spellEnd"/>
      <w:r w:rsidRPr="00DA7B15">
        <w:rPr>
          <w:rFonts w:ascii="Times New Roman" w:hAnsi="Times New Roman" w:cs="Times New Roman"/>
          <w:sz w:val="24"/>
          <w:szCs w:val="24"/>
        </w:rPr>
        <w:t xml:space="preserve"> kanama ya da ülserasyon ortaya çıktığında tedavi kesilmelidir.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Özellikle kanama ya da delinme ile </w:t>
      </w:r>
      <w:proofErr w:type="gramStart"/>
      <w:r w:rsidRPr="00DA7B15">
        <w:rPr>
          <w:rFonts w:ascii="Times New Roman" w:hAnsi="Times New Roman" w:cs="Times New Roman"/>
          <w:sz w:val="24"/>
          <w:szCs w:val="24"/>
        </w:rPr>
        <w:t>komplike</w:t>
      </w:r>
      <w:proofErr w:type="gramEnd"/>
      <w:r w:rsidRPr="00DA7B15">
        <w:rPr>
          <w:rFonts w:ascii="Times New Roman" w:hAnsi="Times New Roman" w:cs="Times New Roman"/>
          <w:sz w:val="24"/>
          <w:szCs w:val="24"/>
        </w:rPr>
        <w:t xml:space="preserve"> olmuş (</w:t>
      </w:r>
      <w:r w:rsidR="008B47B3" w:rsidRPr="00DA7B15">
        <w:rPr>
          <w:rFonts w:ascii="Times New Roman" w:hAnsi="Times New Roman" w:cs="Times New Roman"/>
          <w:sz w:val="24"/>
          <w:szCs w:val="24"/>
        </w:rPr>
        <w:t>bkz.</w:t>
      </w:r>
      <w:r w:rsidRPr="00DA7B15">
        <w:rPr>
          <w:rFonts w:ascii="Times New Roman" w:hAnsi="Times New Roman" w:cs="Times New Roman"/>
          <w:sz w:val="24"/>
          <w:szCs w:val="24"/>
        </w:rPr>
        <w:t xml:space="preserve">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ölüm 4.3) ülser geçmişi olan hastalarda ve yaşlılarda, NSAİİ dozu arttıkça gastrointestinal kanama, ülserasyon ya da perforasyon riski de artar.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Yaş</w:t>
      </w:r>
      <w:r w:rsidR="007E64BB" w:rsidRPr="00DA7B15">
        <w:rPr>
          <w:rFonts w:ascii="Times New Roman" w:hAnsi="Times New Roman" w:cs="Times New Roman"/>
          <w:sz w:val="24"/>
          <w:szCs w:val="24"/>
        </w:rPr>
        <w:t>lı</w:t>
      </w:r>
      <w:r w:rsidRPr="00DA7B15">
        <w:rPr>
          <w:rFonts w:ascii="Times New Roman" w:hAnsi="Times New Roman" w:cs="Times New Roman"/>
          <w:sz w:val="24"/>
          <w:szCs w:val="24"/>
        </w:rPr>
        <w:t>lar</w:t>
      </w:r>
      <w:r w:rsidR="00B068DF" w:rsidRPr="00DA7B15">
        <w:rPr>
          <w:rFonts w:ascii="Times New Roman" w:hAnsi="Times New Roman" w:cs="Times New Roman"/>
          <w:sz w:val="24"/>
          <w:szCs w:val="24"/>
        </w:rPr>
        <w:t>:</w:t>
      </w:r>
      <w:r w:rsidR="00B068DF" w:rsidRPr="00DA7B15">
        <w:rPr>
          <w:rFonts w:ascii="Times New Roman" w:hAnsi="Times New Roman" w:cs="Times New Roman"/>
          <w:b/>
          <w:sz w:val="24"/>
          <w:szCs w:val="24"/>
        </w:rPr>
        <w:t xml:space="preserve"> </w:t>
      </w:r>
      <w:r w:rsidR="001F4A43" w:rsidRPr="00DA7B15">
        <w:rPr>
          <w:rFonts w:ascii="Times New Roman" w:hAnsi="Times New Roman" w:cs="Times New Roman"/>
          <w:sz w:val="24"/>
          <w:szCs w:val="24"/>
        </w:rPr>
        <w:t>Yaşlılarda, NSAİ</w:t>
      </w:r>
      <w:r w:rsidRPr="00DA7B15">
        <w:rPr>
          <w:rFonts w:ascii="Times New Roman" w:hAnsi="Times New Roman" w:cs="Times New Roman"/>
          <w:sz w:val="24"/>
          <w:szCs w:val="24"/>
        </w:rPr>
        <w:t>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lerin, özellikle ölümcül olabilen gastrointestinal kanama ve perforasyon gibi advers reaksiyonlarının sıklığında bir artış görülmektedir (bkz.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4.2</w:t>
      </w:r>
      <w:proofErr w:type="gramEnd"/>
      <w:r w:rsidRPr="00DA7B15">
        <w:rPr>
          <w:rFonts w:ascii="Times New Roman" w:hAnsi="Times New Roman" w:cs="Times New Roman"/>
          <w:sz w:val="24"/>
          <w:szCs w:val="24"/>
        </w:rPr>
        <w:t>). Bu hastalar mümkün olan en düşük dozda tedaviye başlamalıdır.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lastRenderedPageBreak/>
        <w:t>Bütün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lerde olduğu gibi deksketoprofen trometamol tedavisine başlamadan önce tamamen iyileşme olduğundan emin olmak için herhangi bir özofajit, gastrit ve/veya peptik ülser geçmişi araştırılmalıdır. Gastrointestinal semptomlar veya gastrointestinal hastalık öyküsü olan hastalar sindirim bozuklukları, özellikle de gastrointestinal kanama açısından izlenmelidir.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ler, gastrointestinal hastalık öyküsü (ülseratif kolit, Crohn hastalığı) olan hastalara, hastalıklarının şiddetini artırabileceğinden (bkz.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4.8</w:t>
      </w:r>
      <w:proofErr w:type="gramEnd"/>
      <w:r w:rsidRPr="00DA7B15">
        <w:rPr>
          <w:rFonts w:ascii="Times New Roman" w:hAnsi="Times New Roman" w:cs="Times New Roman"/>
          <w:sz w:val="24"/>
          <w:szCs w:val="24"/>
        </w:rPr>
        <w:t>) dikkatli bir şekilde verilmelidir.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Koruyucu ajanlar ile birlikte tedavi </w:t>
      </w:r>
      <w:proofErr w:type="gramStart"/>
      <w:r w:rsidRPr="00DA7B15">
        <w:rPr>
          <w:rFonts w:ascii="Times New Roman" w:hAnsi="Times New Roman" w:cs="Times New Roman"/>
          <w:sz w:val="24"/>
          <w:szCs w:val="24"/>
        </w:rPr>
        <w:t>(</w:t>
      </w:r>
      <w:proofErr w:type="gramEnd"/>
      <w:r w:rsidRPr="00DA7B15">
        <w:rPr>
          <w:rFonts w:ascii="Times New Roman" w:hAnsi="Times New Roman" w:cs="Times New Roman"/>
          <w:sz w:val="24"/>
          <w:szCs w:val="24"/>
        </w:rPr>
        <w:t xml:space="preserve">ör. misoprostol veya proton pompası inhibitörü) bu hastalarda ve aynı zamanda eşzamanlı düşük doz asetilsalisilik asit kullanımını gerektiren veya gastrointestinal riski arttırması muhtemel diğer ilaçların kullanımını gerektiren hastalarda göz önünde bulundurulmalıdır (aşağıya ve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4.5</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e</w:t>
      </w:r>
      <w:proofErr w:type="gramEnd"/>
      <w:r w:rsidRPr="00DA7B15">
        <w:rPr>
          <w:rFonts w:ascii="Times New Roman" w:hAnsi="Times New Roman" w:cs="Times New Roman"/>
          <w:sz w:val="24"/>
          <w:szCs w:val="24"/>
        </w:rPr>
        <w:t xml:space="preserve"> bakın).</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Gastrointestınal toksisite öyküsü olan hastalar, özellikle de yaşlılar, normal olmayan abdominal semptomları (özellikle gastrointestinal kanamayı) özellikle tedavinin başlangıç evresinde bildirmelidir.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Ülserasyon veya kanama riskini arttırabilecek oral kortikosteroidler, varfarin gibi antikoagulanlar, seçici serotonin geri alım inhibitörleri veya asetilsalisilik asit gibi antitrombositleri eşzamanlı alan hastalarda dikkatli olunması tavsiye edilmiştir (bkz.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4.5</w:t>
      </w:r>
      <w:proofErr w:type="gramEnd"/>
      <w:r w:rsidRPr="00DA7B15">
        <w:rPr>
          <w:rFonts w:ascii="Times New Roman" w:hAnsi="Times New Roman" w:cs="Times New Roman"/>
          <w:sz w:val="24"/>
          <w:szCs w:val="24"/>
        </w:rPr>
        <w:t>).</w:t>
      </w:r>
    </w:p>
    <w:p w:rsidR="00B068DF" w:rsidRPr="00DA7B15" w:rsidRDefault="00B068DF"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Tüm non-selektif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trombosit agregasyonunu inhibe edebilir ve prostaglandin sentezinin inhibisyonu yoluyla kanama zamanını uzatabilir. Bu nedenle, hemostazı etkileyen varfarin ya da diğer kumarinler veya heparinler ile tedavi uygulanan hastaların deksketoprofen trometamol kullanması önerilmez.</w:t>
      </w:r>
    </w:p>
    <w:p w:rsidR="00B068DF" w:rsidRPr="00DA7B15" w:rsidRDefault="00B068DF"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Bütün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lerde olduğu gibi, plazma üre nitrojenini ve kreatinıni arttırabilir.</w:t>
      </w:r>
    </w:p>
    <w:p w:rsidR="00B068DF" w:rsidRPr="00DA7B15" w:rsidRDefault="00B068DF" w:rsidP="0050060D">
      <w:pPr>
        <w:shd w:val="clear" w:color="auto" w:fill="FFFFFF"/>
        <w:spacing w:line="360" w:lineRule="auto"/>
        <w:ind w:left="142"/>
        <w:jc w:val="both"/>
        <w:rPr>
          <w:rFonts w:ascii="Times New Roman" w:hAnsi="Times New Roman" w:cs="Times New Roman"/>
          <w:b/>
          <w:sz w:val="24"/>
          <w:szCs w:val="24"/>
        </w:rPr>
      </w:pPr>
    </w:p>
    <w:p w:rsidR="0050060D" w:rsidRPr="00DA7B15" w:rsidRDefault="007E64BB"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Kardiyovasküler, Renal</w:t>
      </w:r>
      <w:r w:rsidR="0050060D" w:rsidRPr="00DA7B15">
        <w:rPr>
          <w:rFonts w:ascii="Times New Roman" w:hAnsi="Times New Roman" w:cs="Times New Roman"/>
          <w:sz w:val="24"/>
          <w:szCs w:val="24"/>
        </w:rPr>
        <w:t xml:space="preserve"> ve Hepatik Bozukluk</w:t>
      </w:r>
      <w:r w:rsidR="00B068DF"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Bir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nin verilmesi prostaglandin oluşumunda doza bağımlı bir azalmaya yol açabilir ve renal yetersizliği tetikleyeb</w:t>
      </w:r>
      <w:r w:rsidR="001F4A43" w:rsidRPr="00DA7B15">
        <w:rPr>
          <w:rFonts w:ascii="Times New Roman" w:hAnsi="Times New Roman" w:cs="Times New Roman"/>
          <w:sz w:val="24"/>
          <w:szCs w:val="24"/>
        </w:rPr>
        <w:t>ili</w:t>
      </w:r>
      <w:r w:rsidRPr="00DA7B15">
        <w:rPr>
          <w:rFonts w:ascii="Times New Roman" w:hAnsi="Times New Roman" w:cs="Times New Roman"/>
          <w:sz w:val="24"/>
          <w:szCs w:val="24"/>
        </w:rPr>
        <w:t xml:space="preserve">r. Bu reaksiyonun yüksek riski altındaki hastalar, böbrek fonksiyon bozukluğu, kalp yetmezliği, karaciğer fonksiyon bozukluğu olanlar, diüretik alanlar ve yaşlılardır. Bu hastalarda renal fonksiyon izlenmelidir (bakınız ayrıca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4.3</w:t>
      </w:r>
      <w:proofErr w:type="gramEnd"/>
      <w:r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lastRenderedPageBreak/>
        <w:t>Tüm diğer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gibi, bazı karaciğer parametrelerinde geçici küçük artışlara ve SGOT ve SGPT</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de anlamlı artışlara neden olabilir. Bu gibi parametrelerde ilaçla ilişkili artışlar olduğunda, tedavi sona erdirilmelidir.</w:t>
      </w:r>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KETAVEL</w:t>
      </w:r>
      <w:r w:rsidR="0050060D" w:rsidRPr="00DA7B15">
        <w:rPr>
          <w:rFonts w:ascii="Times New Roman" w:hAnsi="Times New Roman" w:cs="Times New Roman"/>
          <w:sz w:val="24"/>
          <w:szCs w:val="24"/>
        </w:rPr>
        <w:t xml:space="preserve"> </w:t>
      </w:r>
      <w:proofErr w:type="spellStart"/>
      <w:r w:rsidR="0050060D" w:rsidRPr="00DA7B15">
        <w:rPr>
          <w:rFonts w:ascii="Times New Roman" w:hAnsi="Times New Roman" w:cs="Times New Roman"/>
          <w:sz w:val="24"/>
          <w:szCs w:val="24"/>
        </w:rPr>
        <w:t>hematopoetik</w:t>
      </w:r>
      <w:proofErr w:type="spellEnd"/>
      <w:r w:rsidR="0050060D" w:rsidRPr="00DA7B15">
        <w:rPr>
          <w:rFonts w:ascii="Times New Roman" w:hAnsi="Times New Roman" w:cs="Times New Roman"/>
          <w:sz w:val="24"/>
          <w:szCs w:val="24"/>
        </w:rPr>
        <w:t xml:space="preserve"> bozukluklar, sistemik </w:t>
      </w:r>
      <w:proofErr w:type="spellStart"/>
      <w:r w:rsidR="0050060D" w:rsidRPr="00DA7B15">
        <w:rPr>
          <w:rFonts w:ascii="Times New Roman" w:hAnsi="Times New Roman" w:cs="Times New Roman"/>
          <w:sz w:val="24"/>
          <w:szCs w:val="24"/>
        </w:rPr>
        <w:t>lupus</w:t>
      </w:r>
      <w:proofErr w:type="spellEnd"/>
      <w:r w:rsidR="0050060D" w:rsidRPr="00DA7B15">
        <w:rPr>
          <w:rFonts w:ascii="Times New Roman" w:hAnsi="Times New Roman" w:cs="Times New Roman"/>
          <w:sz w:val="24"/>
          <w:szCs w:val="24"/>
        </w:rPr>
        <w:t xml:space="preserve"> eritematozus veya karışık bağ dokusu hastalığı olan hastalarda dikkatli kullanılmalıdır.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Diğer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gibi, deksketoprofen infeksiyöz hastalıkların semptomlarını maskeleyebilir.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Yaşlı hastalarda, böbrek, kardiovasküler veya karaciğer fonksiyon bozukluğu ortaya çıkması daha olasıdır (bkz.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4.2</w:t>
      </w:r>
      <w:proofErr w:type="gramEnd"/>
      <w:r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SLE (sistemik </w:t>
      </w:r>
      <w:proofErr w:type="spellStart"/>
      <w:r w:rsidRPr="00DA7B15">
        <w:rPr>
          <w:rFonts w:ascii="Times New Roman" w:hAnsi="Times New Roman" w:cs="Times New Roman"/>
          <w:sz w:val="24"/>
          <w:szCs w:val="24"/>
        </w:rPr>
        <w:t>lupus</w:t>
      </w:r>
      <w:proofErr w:type="spellEnd"/>
      <w:r w:rsidRPr="00DA7B15">
        <w:rPr>
          <w:rFonts w:ascii="Times New Roman" w:hAnsi="Times New Roman" w:cs="Times New Roman"/>
          <w:sz w:val="24"/>
          <w:szCs w:val="24"/>
        </w:rPr>
        <w:t xml:space="preserve"> </w:t>
      </w:r>
      <w:proofErr w:type="spellStart"/>
      <w:r w:rsidRPr="00DA7B15">
        <w:rPr>
          <w:rFonts w:ascii="Times New Roman" w:hAnsi="Times New Roman" w:cs="Times New Roman"/>
          <w:sz w:val="24"/>
          <w:szCs w:val="24"/>
        </w:rPr>
        <w:t>eritematozus</w:t>
      </w:r>
      <w:proofErr w:type="spellEnd"/>
      <w:r w:rsidRPr="00DA7B15">
        <w:rPr>
          <w:rFonts w:ascii="Times New Roman" w:hAnsi="Times New Roman" w:cs="Times New Roman"/>
          <w:sz w:val="24"/>
          <w:szCs w:val="24"/>
        </w:rPr>
        <w:t>) hastalığı ve karışık bağ dokusu hastalığı</w:t>
      </w:r>
      <w:r w:rsidR="00B068DF" w:rsidRPr="00DA7B15">
        <w:rPr>
          <w:rFonts w:ascii="Times New Roman" w:hAnsi="Times New Roman" w:cs="Times New Roman"/>
          <w:sz w:val="24"/>
          <w:szCs w:val="24"/>
        </w:rPr>
        <w:t xml:space="preserve">: </w:t>
      </w:r>
      <w:r w:rsidRPr="00DA7B15">
        <w:rPr>
          <w:rFonts w:ascii="Times New Roman" w:hAnsi="Times New Roman" w:cs="Times New Roman"/>
          <w:sz w:val="24"/>
          <w:szCs w:val="24"/>
        </w:rPr>
        <w:t>SLE ve karışık bağ dokusu bozuklukları olan hastalarda, aseptik menenjit riskinde bir artış söz konusu olabilir (</w:t>
      </w:r>
      <w:r w:rsidR="008B47B3" w:rsidRPr="00DA7B15">
        <w:rPr>
          <w:rFonts w:ascii="Times New Roman" w:hAnsi="Times New Roman" w:cs="Times New Roman"/>
          <w:sz w:val="24"/>
          <w:szCs w:val="24"/>
        </w:rPr>
        <w:t>bkz. 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4.8</w:t>
      </w:r>
      <w:proofErr w:type="gramEnd"/>
      <w:r w:rsidRPr="00DA7B15">
        <w:rPr>
          <w:rFonts w:ascii="Times New Roman" w:hAnsi="Times New Roman" w:cs="Times New Roman"/>
          <w:sz w:val="24"/>
          <w:szCs w:val="24"/>
        </w:rPr>
        <w:t>).</w:t>
      </w:r>
    </w:p>
    <w:p w:rsidR="0050060D" w:rsidRPr="00DA7B15" w:rsidRDefault="001F4A43"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Eksfolyatif dermatit, Stevens-Johnson sendromu </w:t>
      </w:r>
      <w:r w:rsidR="0050060D" w:rsidRPr="00DA7B15">
        <w:rPr>
          <w:rFonts w:ascii="Times New Roman" w:hAnsi="Times New Roman" w:cs="Times New Roman"/>
          <w:sz w:val="24"/>
          <w:szCs w:val="24"/>
        </w:rPr>
        <w:t>ve toksik ep</w:t>
      </w:r>
      <w:r w:rsidRPr="00DA7B15">
        <w:rPr>
          <w:rFonts w:ascii="Times New Roman" w:hAnsi="Times New Roman" w:cs="Times New Roman"/>
          <w:sz w:val="24"/>
          <w:szCs w:val="24"/>
        </w:rPr>
        <w:t>i</w:t>
      </w:r>
      <w:r w:rsidR="0050060D" w:rsidRPr="00DA7B15">
        <w:rPr>
          <w:rFonts w:ascii="Times New Roman" w:hAnsi="Times New Roman" w:cs="Times New Roman"/>
          <w:sz w:val="24"/>
          <w:szCs w:val="24"/>
        </w:rPr>
        <w:t xml:space="preserve">dermal nekroliz </w:t>
      </w:r>
      <w:proofErr w:type="gramStart"/>
      <w:r w:rsidR="0050060D" w:rsidRPr="00DA7B15">
        <w:rPr>
          <w:rFonts w:ascii="Times New Roman" w:hAnsi="Times New Roman" w:cs="Times New Roman"/>
          <w:sz w:val="24"/>
          <w:szCs w:val="24"/>
        </w:rPr>
        <w:t>dahil</w:t>
      </w:r>
      <w:proofErr w:type="gramEnd"/>
      <w:r w:rsidR="0050060D" w:rsidRPr="00DA7B15">
        <w:rPr>
          <w:rFonts w:ascii="Times New Roman" w:hAnsi="Times New Roman" w:cs="Times New Roman"/>
          <w:sz w:val="24"/>
          <w:szCs w:val="24"/>
        </w:rPr>
        <w:t xml:space="preserve">, bazıları ölümcül olabilen </w:t>
      </w:r>
      <w:r w:rsidRPr="00DA7B15">
        <w:rPr>
          <w:rFonts w:ascii="Times New Roman" w:hAnsi="Times New Roman" w:cs="Times New Roman"/>
          <w:sz w:val="24"/>
          <w:szCs w:val="24"/>
        </w:rPr>
        <w:t>ciddi</w:t>
      </w:r>
      <w:r w:rsidR="0050060D" w:rsidRPr="00DA7B15">
        <w:rPr>
          <w:rFonts w:ascii="Times New Roman" w:hAnsi="Times New Roman" w:cs="Times New Roman"/>
          <w:sz w:val="24"/>
          <w:szCs w:val="24"/>
        </w:rPr>
        <w:t xml:space="preserve"> deri</w:t>
      </w:r>
      <w:r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 xml:space="preserve">reaksiyonları, NSAİİ kullanımı ile ilşkili olarak çok nadir bildirilmiştir, (bkz. </w:t>
      </w:r>
      <w:r w:rsidR="008B47B3" w:rsidRPr="00DA7B15">
        <w:rPr>
          <w:rFonts w:ascii="Times New Roman" w:hAnsi="Times New Roman" w:cs="Times New Roman"/>
          <w:sz w:val="24"/>
          <w:szCs w:val="24"/>
        </w:rPr>
        <w:t>B</w:t>
      </w:r>
      <w:r w:rsidR="0050060D" w:rsidRPr="00DA7B15">
        <w:rPr>
          <w:rFonts w:ascii="Times New Roman" w:hAnsi="Times New Roman" w:cs="Times New Roman"/>
          <w:sz w:val="24"/>
          <w:szCs w:val="24"/>
        </w:rPr>
        <w:t xml:space="preserve">ölüm 4.8). Tedavinin başlangıcında hastaların bu reaksiyonlar bakımından en yüksek risk altında olduğu görülmüştür, vakaların pek çoğunda reaksiyonun başlaması, tedavinin ilk ayı içerisinde meydana gelmiştir. Cilt kaşıntısı, mukozal lezyonlar veya diğer aşırı duyarlılık belirtileri ilk görüldüğü anda </w:t>
      </w:r>
      <w:r w:rsidR="00831252">
        <w:rPr>
          <w:rFonts w:ascii="Times New Roman" w:hAnsi="Times New Roman" w:cs="Times New Roman"/>
          <w:sz w:val="24"/>
          <w:szCs w:val="24"/>
        </w:rPr>
        <w:t>KETAVEL</w:t>
      </w:r>
      <w:r w:rsidR="0050060D" w:rsidRPr="00DA7B15">
        <w:rPr>
          <w:rFonts w:ascii="Times New Roman" w:hAnsi="Times New Roman" w:cs="Times New Roman"/>
          <w:sz w:val="24"/>
          <w:szCs w:val="24"/>
        </w:rPr>
        <w:t xml:space="preserve"> derhal kesilmelidir.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Hipertansiyon ve/veya hafif-orta konjestif kalp yetmezliği öyküsü olan hastalarda NSAİİ tedavisi ile ilişkili olarak sıvı tutulumu ve ödem bildirildiği için uygun izlem ve öneriler gereklidir.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Klinik çalışmalar ve epidemiyolojik veriler bazı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lerin kullanımının (özellikle yüksek dozlarda ve uzun süreli tedavide) arteryel trombotlk olayların (özellikle miyokard enfarktüsü veya inme) riskinde küçük bir artış ile ilişk</w:t>
      </w:r>
      <w:r w:rsidR="001F4A43" w:rsidRPr="00DA7B15">
        <w:rPr>
          <w:rFonts w:ascii="Times New Roman" w:hAnsi="Times New Roman" w:cs="Times New Roman"/>
          <w:sz w:val="24"/>
          <w:szCs w:val="24"/>
        </w:rPr>
        <w:t>i</w:t>
      </w:r>
      <w:r w:rsidRPr="00DA7B15">
        <w:rPr>
          <w:rFonts w:ascii="Times New Roman" w:hAnsi="Times New Roman" w:cs="Times New Roman"/>
          <w:sz w:val="24"/>
          <w:szCs w:val="24"/>
        </w:rPr>
        <w:t>lendirilebilece</w:t>
      </w:r>
      <w:r w:rsidR="001F4A43" w:rsidRPr="00DA7B15">
        <w:rPr>
          <w:rFonts w:ascii="Times New Roman" w:hAnsi="Times New Roman" w:cs="Times New Roman"/>
          <w:sz w:val="24"/>
          <w:szCs w:val="24"/>
        </w:rPr>
        <w:t>ği</w:t>
      </w:r>
      <w:r w:rsidRPr="00DA7B15">
        <w:rPr>
          <w:rFonts w:ascii="Times New Roman" w:hAnsi="Times New Roman" w:cs="Times New Roman"/>
          <w:sz w:val="24"/>
          <w:szCs w:val="24"/>
        </w:rPr>
        <w:t>ni düşündürmektedir. Deksketoprofen trometamol için böyle bir riski hariç tutmak için veriler yetersizdir.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Kontrol altında olmayan hipertansiyon, konjestif kalp yetmezliği, tanı konmuş iskemik kalp hastalığı, periferal arter hastalığı ve/veya serebrovasküler hastalığı olan hastalar dikkatli bir şekilde değerlendirildikten sonra deksketoprofen trometamol ile te</w:t>
      </w:r>
      <w:r w:rsidR="001F4A43" w:rsidRPr="00DA7B15">
        <w:rPr>
          <w:rFonts w:ascii="Times New Roman" w:hAnsi="Times New Roman" w:cs="Times New Roman"/>
          <w:sz w:val="24"/>
          <w:szCs w:val="24"/>
        </w:rPr>
        <w:t>davi edilmelidir. Kardiyovaskül</w:t>
      </w:r>
      <w:r w:rsidRPr="00DA7B15">
        <w:rPr>
          <w:rFonts w:ascii="Times New Roman" w:hAnsi="Times New Roman" w:cs="Times New Roman"/>
          <w:sz w:val="24"/>
          <w:szCs w:val="24"/>
        </w:rPr>
        <w:t xml:space="preserve">er risk faktörleri taşıyan hastalarda uzun süreli tedaviye başlamadan önce de aynı şekilde dikkat edilmelidir </w:t>
      </w:r>
      <w:proofErr w:type="gramStart"/>
      <w:r w:rsidRPr="00DA7B15">
        <w:rPr>
          <w:rFonts w:ascii="Times New Roman" w:hAnsi="Times New Roman" w:cs="Times New Roman"/>
          <w:sz w:val="24"/>
          <w:szCs w:val="24"/>
        </w:rPr>
        <w:t>(</w:t>
      </w:r>
      <w:proofErr w:type="gramEnd"/>
      <w:r w:rsidRPr="00DA7B15">
        <w:rPr>
          <w:rFonts w:ascii="Times New Roman" w:hAnsi="Times New Roman" w:cs="Times New Roman"/>
          <w:sz w:val="24"/>
          <w:szCs w:val="24"/>
        </w:rPr>
        <w:t xml:space="preserve">ör. </w:t>
      </w:r>
      <w:proofErr w:type="gramStart"/>
      <w:r w:rsidRPr="00DA7B15">
        <w:rPr>
          <w:rFonts w:ascii="Times New Roman" w:hAnsi="Times New Roman" w:cs="Times New Roman"/>
          <w:sz w:val="24"/>
          <w:szCs w:val="24"/>
        </w:rPr>
        <w:t>hipertansiyon</w:t>
      </w:r>
      <w:proofErr w:type="gramEnd"/>
      <w:r w:rsidRPr="00DA7B15">
        <w:rPr>
          <w:rFonts w:ascii="Times New Roman" w:hAnsi="Times New Roman" w:cs="Times New Roman"/>
          <w:sz w:val="24"/>
          <w:szCs w:val="24"/>
        </w:rPr>
        <w:t>, hiperlipidemi, diabetes mellitus, sigara kullanımı).</w:t>
      </w:r>
    </w:p>
    <w:p w:rsidR="00DA7B15" w:rsidRDefault="00DA7B15"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KETAVEL</w:t>
      </w:r>
      <w:r w:rsidR="0050060D" w:rsidRPr="00DA7B15">
        <w:rPr>
          <w:rFonts w:ascii="Times New Roman" w:hAnsi="Times New Roman" w:cs="Times New Roman"/>
          <w:sz w:val="24"/>
          <w:szCs w:val="24"/>
        </w:rPr>
        <w:t xml:space="preserve"> her tablette </w:t>
      </w:r>
      <w:proofErr w:type="gramStart"/>
      <w:r w:rsidR="0050060D" w:rsidRPr="00DA7B15">
        <w:rPr>
          <w:rFonts w:ascii="Times New Roman" w:hAnsi="Times New Roman" w:cs="Times New Roman"/>
          <w:sz w:val="24"/>
          <w:szCs w:val="24"/>
        </w:rPr>
        <w:t>10.4</w:t>
      </w:r>
      <w:proofErr w:type="gramEnd"/>
      <w:r w:rsidR="0050060D" w:rsidRPr="00DA7B15">
        <w:rPr>
          <w:rFonts w:ascii="Times New Roman" w:hAnsi="Times New Roman" w:cs="Times New Roman"/>
          <w:sz w:val="24"/>
          <w:szCs w:val="24"/>
        </w:rPr>
        <w:t xml:space="preserve"> mg sodyum nişasta glikolat ihtiva eder. Bu durum, kontrollü sodyum diyetinde olan hastalar için göz önünde bulundurulmalıdır.</w:t>
      </w:r>
    </w:p>
    <w:p w:rsidR="00DA7B15" w:rsidRPr="00DA7B15" w:rsidRDefault="00831252" w:rsidP="0050060D">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KETAVEL</w:t>
      </w:r>
      <w:r w:rsidR="00DA7B15">
        <w:rPr>
          <w:rFonts w:ascii="Times New Roman" w:hAnsi="Times New Roman" w:cs="Times New Roman"/>
          <w:sz w:val="24"/>
          <w:szCs w:val="24"/>
        </w:rPr>
        <w:t xml:space="preserve"> her tablette </w:t>
      </w:r>
      <w:proofErr w:type="gramStart"/>
      <w:r w:rsidR="00DA7B15">
        <w:rPr>
          <w:rFonts w:ascii="Times New Roman" w:hAnsi="Times New Roman" w:cs="Times New Roman"/>
          <w:sz w:val="24"/>
          <w:szCs w:val="24"/>
        </w:rPr>
        <w:t>7.8</w:t>
      </w:r>
      <w:proofErr w:type="gramEnd"/>
      <w:r w:rsidR="00DA7B15">
        <w:rPr>
          <w:rFonts w:ascii="Times New Roman" w:hAnsi="Times New Roman" w:cs="Times New Roman"/>
          <w:sz w:val="24"/>
          <w:szCs w:val="24"/>
        </w:rPr>
        <w:t xml:space="preserve"> mg </w:t>
      </w:r>
      <w:proofErr w:type="spellStart"/>
      <w:r w:rsidR="00DA7B15">
        <w:rPr>
          <w:rFonts w:ascii="Times New Roman" w:hAnsi="Times New Roman" w:cs="Times New Roman"/>
          <w:sz w:val="24"/>
          <w:szCs w:val="24"/>
        </w:rPr>
        <w:t>gliserol</w:t>
      </w:r>
      <w:proofErr w:type="spellEnd"/>
      <w:r w:rsidR="00DA7B15">
        <w:rPr>
          <w:rFonts w:ascii="Times New Roman" w:hAnsi="Times New Roman" w:cs="Times New Roman"/>
          <w:sz w:val="24"/>
          <w:szCs w:val="24"/>
        </w:rPr>
        <w:t xml:space="preserve"> </w:t>
      </w:r>
      <w:proofErr w:type="spellStart"/>
      <w:r w:rsidR="00DA7B15">
        <w:rPr>
          <w:rFonts w:ascii="Times New Roman" w:hAnsi="Times New Roman" w:cs="Times New Roman"/>
          <w:sz w:val="24"/>
          <w:szCs w:val="24"/>
        </w:rPr>
        <w:t>monostearat</w:t>
      </w:r>
      <w:proofErr w:type="spellEnd"/>
      <w:r w:rsidR="00DA7B15">
        <w:rPr>
          <w:rFonts w:ascii="Times New Roman" w:hAnsi="Times New Roman" w:cs="Times New Roman"/>
          <w:sz w:val="24"/>
          <w:szCs w:val="24"/>
        </w:rPr>
        <w:t xml:space="preserve"> içermektedir. Dozu nedeniyle herhangi bir uyarı gerektirmemektedir.</w:t>
      </w:r>
    </w:p>
    <w:p w:rsidR="008B47B3" w:rsidRPr="00DA7B15" w:rsidRDefault="008B47B3"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1A150D" w:rsidP="001A15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4.5</w:t>
      </w:r>
      <w:r w:rsidRPr="00DA7B15">
        <w:rPr>
          <w:rFonts w:ascii="Times New Roman" w:hAnsi="Times New Roman" w:cs="Times New Roman"/>
          <w:b/>
          <w:sz w:val="24"/>
          <w:szCs w:val="24"/>
        </w:rPr>
        <w:tab/>
      </w:r>
      <w:r w:rsidR="0050060D" w:rsidRPr="00DA7B15">
        <w:rPr>
          <w:rFonts w:ascii="Times New Roman" w:hAnsi="Times New Roman" w:cs="Times New Roman"/>
          <w:b/>
          <w:sz w:val="24"/>
          <w:szCs w:val="24"/>
        </w:rPr>
        <w:t>Diğer tıbbi ürünler ile etkileşimler ve diğer etkileşim şekilleri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Aşağıdaki etkileşmeler genelde tüm non steroidal antienflamatuvar ilaçlar (NSAİİ) için geçerlidir:</w:t>
      </w:r>
    </w:p>
    <w:p w:rsidR="0050060D" w:rsidRPr="00DA7B15" w:rsidRDefault="007E64BB" w:rsidP="0050060D">
      <w:pPr>
        <w:shd w:val="clear" w:color="auto" w:fill="FFFFFF"/>
        <w:spacing w:line="360" w:lineRule="auto"/>
        <w:ind w:left="142"/>
        <w:jc w:val="both"/>
        <w:rPr>
          <w:rFonts w:ascii="Times New Roman" w:hAnsi="Times New Roman" w:cs="Times New Roman"/>
          <w:i/>
          <w:sz w:val="24"/>
          <w:szCs w:val="24"/>
          <w:u w:val="single"/>
        </w:rPr>
      </w:pPr>
      <w:r w:rsidRPr="00DA7B15">
        <w:rPr>
          <w:rFonts w:ascii="Times New Roman" w:hAnsi="Times New Roman" w:cs="Times New Roman"/>
          <w:i/>
          <w:sz w:val="24"/>
          <w:szCs w:val="24"/>
          <w:u w:val="single"/>
        </w:rPr>
        <w:t>Ön</w:t>
      </w:r>
      <w:r w:rsidR="0050060D" w:rsidRPr="00DA7B15">
        <w:rPr>
          <w:rFonts w:ascii="Times New Roman" w:hAnsi="Times New Roman" w:cs="Times New Roman"/>
          <w:i/>
          <w:sz w:val="24"/>
          <w:szCs w:val="24"/>
          <w:u w:val="single"/>
        </w:rPr>
        <w:t>erilmeyen Kombinasyonlar</w:t>
      </w:r>
      <w:r w:rsidR="008128F6" w:rsidRPr="00DA7B15">
        <w:rPr>
          <w:rFonts w:ascii="Times New Roman" w:hAnsi="Times New Roman" w:cs="Times New Roman"/>
          <w:i/>
          <w:sz w:val="24"/>
          <w:szCs w:val="24"/>
          <w:u w:val="single"/>
        </w:rPr>
        <w:t>:</w:t>
      </w:r>
    </w:p>
    <w:p w:rsidR="0050060D" w:rsidRPr="00DA7B15" w:rsidRDefault="0050060D" w:rsidP="008128F6">
      <w:pPr>
        <w:pStyle w:val="ListeParagraf"/>
        <w:numPr>
          <w:ilvl w:val="0"/>
          <w:numId w:val="21"/>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İki ya da daha çok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in (asetilsalisilik asit </w:t>
      </w:r>
      <w:proofErr w:type="gramStart"/>
      <w:r w:rsidRPr="00DA7B15">
        <w:rPr>
          <w:rFonts w:ascii="Times New Roman" w:hAnsi="Times New Roman" w:cs="Times New Roman"/>
          <w:sz w:val="24"/>
          <w:szCs w:val="24"/>
        </w:rPr>
        <w:t>dahil</w:t>
      </w:r>
      <w:proofErr w:type="gramEnd"/>
      <w:r w:rsidRPr="00DA7B15">
        <w:rPr>
          <w:rFonts w:ascii="Times New Roman" w:hAnsi="Times New Roman" w:cs="Times New Roman"/>
          <w:sz w:val="24"/>
          <w:szCs w:val="24"/>
        </w:rPr>
        <w:t>) eşzamanlı kullanılmasından, advers olay riskini artırabileceği için, kaçınılmalıdır (</w:t>
      </w:r>
      <w:r w:rsidR="008128F6" w:rsidRPr="00DA7B15">
        <w:rPr>
          <w:rFonts w:ascii="Times New Roman" w:hAnsi="Times New Roman" w:cs="Times New Roman"/>
          <w:sz w:val="24"/>
          <w:szCs w:val="24"/>
        </w:rPr>
        <w:t>bkz. B</w:t>
      </w:r>
      <w:r w:rsidRPr="00DA7B15">
        <w:rPr>
          <w:rFonts w:ascii="Times New Roman" w:hAnsi="Times New Roman" w:cs="Times New Roman"/>
          <w:sz w:val="24"/>
          <w:szCs w:val="24"/>
        </w:rPr>
        <w:t>ölüm 4.4).</w:t>
      </w:r>
    </w:p>
    <w:p w:rsidR="0050060D" w:rsidRPr="00DA7B15" w:rsidRDefault="0050060D" w:rsidP="008128F6">
      <w:pPr>
        <w:pStyle w:val="ListeParagraf"/>
        <w:numPr>
          <w:ilvl w:val="0"/>
          <w:numId w:val="21"/>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Antikoagülanlar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ler, varfarin (bkz. </w:t>
      </w:r>
      <w:r w:rsidR="008128F6" w:rsidRPr="00DA7B15">
        <w:rPr>
          <w:rFonts w:ascii="Times New Roman" w:hAnsi="Times New Roman" w:cs="Times New Roman"/>
          <w:sz w:val="24"/>
          <w:szCs w:val="24"/>
        </w:rPr>
        <w:t>B</w:t>
      </w:r>
      <w:r w:rsidRPr="00DA7B15">
        <w:rPr>
          <w:rFonts w:ascii="Times New Roman" w:hAnsi="Times New Roman" w:cs="Times New Roman"/>
          <w:sz w:val="24"/>
          <w:szCs w:val="24"/>
        </w:rPr>
        <w:t>ölüm 4 4) gibi antikoagülanların etkilerini, deksketoprofenin yüksek plazma proteini bağlanması, trombosit fonksiyonu inhıbisyonu ve gastroduodenal mukoza hasarı nedeniyle arttırabilir. Eğer bu kombinasyondan kaçınılamıyorsa, yakın klinik gözlem yapılmalı ve laboratuvar değerleri takip edilmelidir.</w:t>
      </w:r>
    </w:p>
    <w:p w:rsidR="0050060D" w:rsidRPr="00DA7B15" w:rsidRDefault="0050060D" w:rsidP="008128F6">
      <w:pPr>
        <w:pStyle w:val="ListeParagraf"/>
        <w:numPr>
          <w:ilvl w:val="0"/>
          <w:numId w:val="21"/>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Heparinler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Hemoraji riski artar (trombosit fonksiyonu inhibisyonu ve gastroduodenal mukoza hasarına bağlı olarak). Eğer kombinasyondan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kaçınılamıyorsa, yakın klinik gözlem yapılmalı ve laboratuvar değerleri takip edilmelidir.</w:t>
      </w:r>
    </w:p>
    <w:p w:rsidR="0050060D" w:rsidRPr="00DA7B15" w:rsidRDefault="0050060D" w:rsidP="008128F6">
      <w:pPr>
        <w:pStyle w:val="ListeParagraf"/>
        <w:numPr>
          <w:ilvl w:val="0"/>
          <w:numId w:val="21"/>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Kortikosteroidler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 xml:space="preserve">Gastrointestinal ülserasyon veya kanama riski artışı vardır (bkz. </w:t>
      </w:r>
      <w:r w:rsidR="008128F6"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w:t>
      </w:r>
    </w:p>
    <w:p w:rsidR="0050060D" w:rsidRPr="00DA7B15" w:rsidRDefault="0050060D" w:rsidP="008128F6">
      <w:pPr>
        <w:pStyle w:val="ListeParagraf"/>
        <w:numPr>
          <w:ilvl w:val="0"/>
          <w:numId w:val="21"/>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Lityum (birçok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larla tanımlanmıştır)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kan lityum düzeylerini (lityumun böbreklerle atılımını azaltarak) arttırırlar ve toksik düzeylere ulaşmasına neden</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olabilirler. Dolayısıyla, bu parametre, deksketoprofen ile tedavinin başlangıcı, doz ayarlanması ve kesilmesi sırasında takip</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edilmelidir.</w:t>
      </w:r>
    </w:p>
    <w:p w:rsidR="0050060D" w:rsidRPr="00DA7B15" w:rsidRDefault="0050060D" w:rsidP="008128F6">
      <w:pPr>
        <w:pStyle w:val="ListeParagraf"/>
        <w:numPr>
          <w:ilvl w:val="0"/>
          <w:numId w:val="21"/>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Metotreksat, 15 mg/hafta veya daha yüksek dozlarda kullanılması</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Genelde anti-inflamatuvar ajanlarla metotreksatın renal klirensinın azalmasına bağlı olarak hematolojik toksisitesinde artış.</w:t>
      </w:r>
    </w:p>
    <w:p w:rsidR="0050060D" w:rsidRPr="00DA7B15" w:rsidRDefault="0050060D" w:rsidP="008128F6">
      <w:pPr>
        <w:pStyle w:val="ListeParagraf"/>
        <w:numPr>
          <w:ilvl w:val="0"/>
          <w:numId w:val="21"/>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Hidantoinler ve sulfonamidler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Bu bileşiklerin toksik etkileri artabilir.</w:t>
      </w:r>
    </w:p>
    <w:p w:rsidR="008128F6" w:rsidRPr="00DA7B15" w:rsidRDefault="008128F6" w:rsidP="0050060D">
      <w:pPr>
        <w:shd w:val="clear" w:color="auto" w:fill="FFFFFF"/>
        <w:spacing w:line="360" w:lineRule="auto"/>
        <w:ind w:left="142"/>
        <w:jc w:val="both"/>
        <w:rPr>
          <w:rFonts w:ascii="Times New Roman" w:hAnsi="Times New Roman" w:cs="Times New Roman"/>
          <w:b/>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i/>
          <w:sz w:val="24"/>
          <w:szCs w:val="24"/>
          <w:u w:val="single"/>
        </w:rPr>
      </w:pPr>
      <w:r w:rsidRPr="00DA7B15">
        <w:rPr>
          <w:rFonts w:ascii="Times New Roman" w:hAnsi="Times New Roman" w:cs="Times New Roman"/>
          <w:i/>
          <w:sz w:val="24"/>
          <w:szCs w:val="24"/>
          <w:u w:val="single"/>
        </w:rPr>
        <w:t>Dikkat Gerektiren Kombinasyonlar</w:t>
      </w:r>
      <w:r w:rsidR="008128F6" w:rsidRPr="00DA7B15">
        <w:rPr>
          <w:rFonts w:ascii="Times New Roman" w:hAnsi="Times New Roman" w:cs="Times New Roman"/>
          <w:i/>
          <w:sz w:val="24"/>
          <w:szCs w:val="24"/>
          <w:u w:val="single"/>
        </w:rPr>
        <w:t>:</w:t>
      </w:r>
    </w:p>
    <w:p w:rsidR="0050060D" w:rsidRPr="00DA7B15" w:rsidRDefault="0050060D" w:rsidP="008128F6">
      <w:pPr>
        <w:pStyle w:val="ListeParagraf"/>
        <w:numPr>
          <w:ilvl w:val="0"/>
          <w:numId w:val="22"/>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Diüretikler, ADE inhibitörleri ve anjiyotensin II reseptör antagonistleri</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 xml:space="preserve">Deksketoprofen, diüretiklerin ve antihipertansif ürünlerin etkisini azaltabilir. Kompromize böbrek fonksiyonlu bazı hastalarda (örneğin dehidrate hastalar ya da kompromize böbrek </w:t>
      </w:r>
      <w:r w:rsidRPr="00DA7B15">
        <w:rPr>
          <w:rFonts w:ascii="Times New Roman" w:hAnsi="Times New Roman" w:cs="Times New Roman"/>
          <w:sz w:val="24"/>
          <w:szCs w:val="24"/>
        </w:rPr>
        <w:lastRenderedPageBreak/>
        <w:t>fonksiyonlu yaşlı hastalar) siklooksijenazı inhibe eden ajanlar ve ADE inhibitörleri ya da anjiyotensin II reseptör antagonistlerinin birlikte kullanılması, böbrek fonksiyonunun genellikle geri dönüşümlü olacak şekilde daha da bozulmasına neden olabilir. Deksketoprofen ile bir diüretiğin birlikte reçetelendirildiği durumlarda, diüretikler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lerin nefrotoksisite riskini artırabileceğinden hastaların yeterli düzeyde hidrate olduklarından emin olunmalı ve tedavinin başlangıcında renal fonksiyonlar izlenmelidir.</w:t>
      </w:r>
    </w:p>
    <w:p w:rsidR="0050060D" w:rsidRPr="00DA7B15" w:rsidRDefault="0050060D" w:rsidP="008128F6">
      <w:pPr>
        <w:pStyle w:val="ListeParagraf"/>
        <w:numPr>
          <w:ilvl w:val="0"/>
          <w:numId w:val="22"/>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Metotraksatın 15 mg/hafta</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dan daha düşük dozlarda kullanılması</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Genellikle antiinflamatuvar bileşiklerle renal klerensinin azaltılmasına bağlı olarak metotreksatın hematolojik toksisitesi artar. Kombinasyonun ilk haftalarında kan sayımı haftalık olarak izlenmelidir. Renal fonksiyonların hafifçe bozulmuş olduğu durumlarda ve aynı zamanda yaşlılarda da izlem arttırılmalıdır.</w:t>
      </w:r>
    </w:p>
    <w:p w:rsidR="0050060D" w:rsidRPr="00DA7B15" w:rsidRDefault="0050060D" w:rsidP="008128F6">
      <w:pPr>
        <w:pStyle w:val="ListeParagraf"/>
        <w:numPr>
          <w:ilvl w:val="0"/>
          <w:numId w:val="22"/>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Pentoksifilin</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Kanama riskinde artış. Klinik izleme arttırılmalı ve kanama zamanı daha sık kontrol edilmelidir.</w:t>
      </w:r>
    </w:p>
    <w:p w:rsidR="0050060D" w:rsidRPr="00DA7B15" w:rsidRDefault="007E64BB" w:rsidP="008128F6">
      <w:pPr>
        <w:pStyle w:val="ListeParagraf"/>
        <w:numPr>
          <w:ilvl w:val="0"/>
          <w:numId w:val="22"/>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Zidovudi</w:t>
      </w:r>
      <w:r w:rsidR="0050060D" w:rsidRPr="00DA7B15">
        <w:rPr>
          <w:rFonts w:ascii="Times New Roman" w:hAnsi="Times New Roman" w:cs="Times New Roman"/>
          <w:sz w:val="24"/>
          <w:szCs w:val="24"/>
        </w:rPr>
        <w:t>n</w:t>
      </w:r>
      <w:r w:rsidR="008128F6"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NSAİİ alımına başlandıktan bir hafta sonra oluşan şiddetli anemi ile retikulositler üzerindeki etkiyle kırmızı hücre toksisitesinde</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artma riski. NSAİİ</w:t>
      </w:r>
      <w:r w:rsidR="00791F66" w:rsidRPr="00DA7B15">
        <w:rPr>
          <w:rFonts w:ascii="Times New Roman" w:hAnsi="Times New Roman" w:cs="Times New Roman"/>
          <w:sz w:val="24"/>
          <w:szCs w:val="24"/>
        </w:rPr>
        <w:t>’</w:t>
      </w:r>
      <w:r w:rsidR="0050060D" w:rsidRPr="00DA7B15">
        <w:rPr>
          <w:rFonts w:ascii="Times New Roman" w:hAnsi="Times New Roman" w:cs="Times New Roman"/>
          <w:sz w:val="24"/>
          <w:szCs w:val="24"/>
        </w:rPr>
        <w:t>lar ile tedaviye başladıktan bir iki hafta sonra tam kan sayımı ve retikülosit sayısı kontrol edilmelidir.</w:t>
      </w:r>
    </w:p>
    <w:p w:rsidR="0050060D" w:rsidRPr="00DA7B15" w:rsidRDefault="0050060D" w:rsidP="008128F6">
      <w:pPr>
        <w:pStyle w:val="ListeParagraf"/>
        <w:numPr>
          <w:ilvl w:val="0"/>
          <w:numId w:val="22"/>
        </w:numPr>
        <w:shd w:val="clear" w:color="auto" w:fill="FFFFFF"/>
        <w:tabs>
          <w:tab w:val="left" w:pos="426"/>
        </w:tabs>
        <w:spacing w:line="360" w:lineRule="auto"/>
        <w:ind w:left="142" w:firstLine="0"/>
        <w:jc w:val="both"/>
        <w:rPr>
          <w:rFonts w:ascii="Times New Roman" w:hAnsi="Times New Roman" w:cs="Times New Roman"/>
          <w:sz w:val="24"/>
          <w:szCs w:val="24"/>
        </w:rPr>
      </w:pPr>
      <w:r w:rsidRPr="00DA7B15">
        <w:rPr>
          <w:rFonts w:ascii="Times New Roman" w:hAnsi="Times New Roman" w:cs="Times New Roman"/>
          <w:sz w:val="24"/>
          <w:szCs w:val="24"/>
        </w:rPr>
        <w:t>Sulfonilüreler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sulfonilüreler</w:t>
      </w:r>
      <w:r w:rsidR="00890E7C" w:rsidRPr="00DA7B15">
        <w:rPr>
          <w:rFonts w:ascii="Times New Roman" w:hAnsi="Times New Roman" w:cs="Times New Roman"/>
          <w:sz w:val="24"/>
          <w:szCs w:val="24"/>
        </w:rPr>
        <w:t>i</w:t>
      </w:r>
      <w:r w:rsidRPr="00DA7B15">
        <w:rPr>
          <w:rFonts w:ascii="Times New Roman" w:hAnsi="Times New Roman" w:cs="Times New Roman"/>
          <w:sz w:val="24"/>
          <w:szCs w:val="24"/>
        </w:rPr>
        <w:t xml:space="preserve"> plazma proteinlerine bağlanma yerlerinden uzaklaştırarak hıpoglisemik etkilerini arttırabilirler.</w:t>
      </w:r>
    </w:p>
    <w:p w:rsidR="008128F6" w:rsidRPr="00DA7B15" w:rsidRDefault="008128F6" w:rsidP="0050060D">
      <w:pPr>
        <w:shd w:val="clear" w:color="auto" w:fill="FFFFFF"/>
        <w:spacing w:line="360" w:lineRule="auto"/>
        <w:ind w:left="142"/>
        <w:jc w:val="both"/>
        <w:rPr>
          <w:rFonts w:ascii="Times New Roman" w:hAnsi="Times New Roman" w:cs="Times New Roman"/>
          <w:b/>
          <w:sz w:val="24"/>
          <w:szCs w:val="24"/>
        </w:rPr>
      </w:pPr>
    </w:p>
    <w:p w:rsidR="0050060D" w:rsidRPr="00DA7B15" w:rsidRDefault="007E64BB" w:rsidP="0050060D">
      <w:pPr>
        <w:shd w:val="clear" w:color="auto" w:fill="FFFFFF"/>
        <w:spacing w:line="360" w:lineRule="auto"/>
        <w:ind w:left="142"/>
        <w:jc w:val="both"/>
        <w:rPr>
          <w:rFonts w:ascii="Times New Roman" w:hAnsi="Times New Roman" w:cs="Times New Roman"/>
          <w:i/>
          <w:sz w:val="24"/>
          <w:szCs w:val="24"/>
          <w:u w:val="single"/>
        </w:rPr>
      </w:pPr>
      <w:r w:rsidRPr="00DA7B15">
        <w:rPr>
          <w:rFonts w:ascii="Times New Roman" w:hAnsi="Times New Roman" w:cs="Times New Roman"/>
          <w:i/>
          <w:sz w:val="24"/>
          <w:szCs w:val="24"/>
          <w:u w:val="single"/>
        </w:rPr>
        <w:t>G</w:t>
      </w:r>
      <w:r w:rsidR="0050060D" w:rsidRPr="00DA7B15">
        <w:rPr>
          <w:rFonts w:ascii="Times New Roman" w:hAnsi="Times New Roman" w:cs="Times New Roman"/>
          <w:i/>
          <w:sz w:val="24"/>
          <w:szCs w:val="24"/>
          <w:u w:val="single"/>
        </w:rPr>
        <w:t>öz Önünde Bulundurulması Gereken Kombinasyonlar</w:t>
      </w:r>
      <w:r w:rsidR="008128F6" w:rsidRPr="00DA7B15">
        <w:rPr>
          <w:rFonts w:ascii="Times New Roman" w:hAnsi="Times New Roman" w:cs="Times New Roman"/>
          <w:i/>
          <w:sz w:val="24"/>
          <w:szCs w:val="24"/>
          <w:u w:val="single"/>
        </w:rPr>
        <w:t>:</w:t>
      </w:r>
    </w:p>
    <w:p w:rsidR="0050060D" w:rsidRPr="00DA7B15" w:rsidRDefault="007E64BB"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Beta-bl</w:t>
      </w:r>
      <w:r w:rsidR="0050060D" w:rsidRPr="00DA7B15">
        <w:rPr>
          <w:rFonts w:ascii="Times New Roman" w:hAnsi="Times New Roman" w:cs="Times New Roman"/>
          <w:sz w:val="24"/>
          <w:szCs w:val="24"/>
        </w:rPr>
        <w:t>okerler</w:t>
      </w:r>
      <w:r w:rsidR="008128F6"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Bir NSAİİ ile tedavi, prostaglandin sentezinde inhibisyon ile antihipertansif etkilerini azaltabilir.</w:t>
      </w:r>
    </w:p>
    <w:p w:rsidR="0050060D" w:rsidRPr="00DA7B15" w:rsidRDefault="001F4A43"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Siklosporin ve takroli</w:t>
      </w:r>
      <w:r w:rsidR="0050060D" w:rsidRPr="00DA7B15">
        <w:rPr>
          <w:rFonts w:ascii="Times New Roman" w:hAnsi="Times New Roman" w:cs="Times New Roman"/>
          <w:sz w:val="24"/>
          <w:szCs w:val="24"/>
        </w:rPr>
        <w:t>mus</w:t>
      </w:r>
      <w:r w:rsidR="008128F6"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0050060D" w:rsidRPr="00DA7B15">
        <w:rPr>
          <w:rFonts w:ascii="Times New Roman" w:hAnsi="Times New Roman" w:cs="Times New Roman"/>
          <w:sz w:val="24"/>
          <w:szCs w:val="24"/>
        </w:rPr>
        <w:t>ların renal prostaglandin aracılı etkileriyle nefrotoksisite artabilir.  Kombinasyon tedavisi süresince renal fonksiyonlar</w:t>
      </w:r>
      <w:r w:rsidR="007E64BB"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hesaplanmalıdır.</w:t>
      </w:r>
    </w:p>
    <w:p w:rsidR="0050060D" w:rsidRPr="00DA7B15" w:rsidRDefault="0050060D"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Trombolitikler</w:t>
      </w:r>
      <w:r w:rsidR="008128F6" w:rsidRPr="00DA7B15">
        <w:rPr>
          <w:rFonts w:ascii="Times New Roman" w:hAnsi="Times New Roman" w:cs="Times New Roman"/>
          <w:sz w:val="24"/>
          <w:szCs w:val="24"/>
        </w:rPr>
        <w:t>:</w:t>
      </w:r>
      <w:r w:rsidRPr="00DA7B15">
        <w:rPr>
          <w:rFonts w:ascii="Times New Roman" w:hAnsi="Times New Roman" w:cs="Times New Roman"/>
          <w:sz w:val="24"/>
          <w:szCs w:val="24"/>
        </w:rPr>
        <w:t xml:space="preserve"> Kanama riskinde artma.</w:t>
      </w:r>
    </w:p>
    <w:p w:rsidR="0050060D" w:rsidRPr="00DA7B15" w:rsidRDefault="0050060D"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Antitrombosit ajanlar ve seçici serotonin geri alım inhibitörleri (SSRI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lar)</w:t>
      </w:r>
      <w:r w:rsidR="008128F6" w:rsidRPr="00DA7B15">
        <w:rPr>
          <w:rFonts w:ascii="Times New Roman" w:hAnsi="Times New Roman" w:cs="Times New Roman"/>
          <w:sz w:val="24"/>
          <w:szCs w:val="24"/>
        </w:rPr>
        <w:t>:</w:t>
      </w:r>
      <w:r w:rsidRPr="00DA7B15">
        <w:rPr>
          <w:rFonts w:ascii="Times New Roman" w:hAnsi="Times New Roman" w:cs="Times New Roman"/>
          <w:sz w:val="24"/>
          <w:szCs w:val="24"/>
        </w:rPr>
        <w:t xml:space="preserve"> Gastrointestinal kanama riskinde artış (bkz. </w:t>
      </w:r>
      <w:r w:rsidR="008128F6"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w:t>
      </w:r>
    </w:p>
    <w:p w:rsidR="0050060D" w:rsidRPr="00DA7B15" w:rsidRDefault="0050060D"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Probenesid</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Deksketoprofenin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plazma</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konsantrasyonları</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artabilir;</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bu</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etkileşme,</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renal</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tubüler</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sekresyon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bölgesindeki</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inhibitör</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bir</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mekanizmaya ve glukuronokonjugasyona bağlı olabilir ve deksketoprofen dozunun ayarlanmasını gerektirir.</w:t>
      </w:r>
    </w:p>
    <w:p w:rsidR="0050060D" w:rsidRPr="00DA7B15" w:rsidRDefault="0050060D"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Kardiyak glikozidler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kalp yetmezliğini</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kötü</w:t>
      </w:r>
      <w:r w:rsidR="001F4A43" w:rsidRPr="00DA7B15">
        <w:rPr>
          <w:rFonts w:ascii="Times New Roman" w:hAnsi="Times New Roman" w:cs="Times New Roman"/>
          <w:sz w:val="24"/>
          <w:szCs w:val="24"/>
        </w:rPr>
        <w:t>leştirebilir</w:t>
      </w:r>
      <w:r w:rsidRPr="00DA7B15">
        <w:rPr>
          <w:rFonts w:ascii="Times New Roman" w:hAnsi="Times New Roman" w:cs="Times New Roman"/>
          <w:sz w:val="24"/>
          <w:szCs w:val="24"/>
        </w:rPr>
        <w:t>,</w:t>
      </w:r>
      <w:r w:rsidR="001F4A43" w:rsidRPr="00DA7B15">
        <w:rPr>
          <w:rFonts w:ascii="Times New Roman" w:hAnsi="Times New Roman" w:cs="Times New Roman"/>
          <w:sz w:val="24"/>
          <w:szCs w:val="24"/>
        </w:rPr>
        <w:t xml:space="preserve"> glomerüler </w:t>
      </w:r>
      <w:r w:rsidRPr="00DA7B15">
        <w:rPr>
          <w:rFonts w:ascii="Times New Roman" w:hAnsi="Times New Roman" w:cs="Times New Roman"/>
          <w:sz w:val="24"/>
          <w:szCs w:val="24"/>
        </w:rPr>
        <w:t>filtrasyon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lastRenderedPageBreak/>
        <w:t>hızını</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 xml:space="preserve">(GFR) düşürebilir ve </w:t>
      </w:r>
      <w:r w:rsidR="001F4A43" w:rsidRPr="00DA7B15">
        <w:rPr>
          <w:rFonts w:ascii="Times New Roman" w:hAnsi="Times New Roman" w:cs="Times New Roman"/>
          <w:sz w:val="24"/>
          <w:szCs w:val="24"/>
        </w:rPr>
        <w:t>plazma glikozit</w:t>
      </w:r>
      <w:r w:rsidRPr="00DA7B15">
        <w:rPr>
          <w:rFonts w:ascii="Times New Roman" w:hAnsi="Times New Roman" w:cs="Times New Roman"/>
          <w:sz w:val="24"/>
          <w:szCs w:val="24"/>
        </w:rPr>
        <w:t xml:space="preserve"> seviyelerini</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artırabilir.</w:t>
      </w:r>
    </w:p>
    <w:p w:rsidR="0050060D" w:rsidRPr="00DA7B15" w:rsidRDefault="0050060D"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M</w:t>
      </w:r>
      <w:r w:rsidR="001F4A43" w:rsidRPr="00DA7B15">
        <w:rPr>
          <w:rFonts w:ascii="Times New Roman" w:hAnsi="Times New Roman" w:cs="Times New Roman"/>
          <w:sz w:val="24"/>
          <w:szCs w:val="24"/>
        </w:rPr>
        <w:t>i</w:t>
      </w:r>
      <w:r w:rsidRPr="00DA7B15">
        <w:rPr>
          <w:rFonts w:ascii="Times New Roman" w:hAnsi="Times New Roman" w:cs="Times New Roman"/>
          <w:sz w:val="24"/>
          <w:szCs w:val="24"/>
        </w:rPr>
        <w:t>fepriston</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Prostaglandin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sentetaz</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inhibitörlerinin,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teorik</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olarak</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mifepristonun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etkinliğini</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değiştirmesi</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riski</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taşıdığından,</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mifepriston alımından sonraki 8-12 gün içinde kullanılmamalıdır.</w:t>
      </w:r>
    </w:p>
    <w:p w:rsidR="0050060D" w:rsidRPr="00DA7B15" w:rsidRDefault="0050060D" w:rsidP="008128F6">
      <w:pPr>
        <w:pStyle w:val="ListeParagraf"/>
        <w:numPr>
          <w:ilvl w:val="0"/>
          <w:numId w:val="23"/>
        </w:numPr>
        <w:shd w:val="clear" w:color="auto" w:fill="FFFFFF"/>
        <w:tabs>
          <w:tab w:val="left" w:pos="426"/>
        </w:tabs>
        <w:spacing w:line="360" w:lineRule="auto"/>
        <w:ind w:left="142" w:hanging="11"/>
        <w:jc w:val="both"/>
        <w:rPr>
          <w:rFonts w:ascii="Times New Roman" w:hAnsi="Times New Roman" w:cs="Times New Roman"/>
          <w:sz w:val="24"/>
          <w:szCs w:val="24"/>
        </w:rPr>
      </w:pPr>
      <w:r w:rsidRPr="00DA7B15">
        <w:rPr>
          <w:rFonts w:ascii="Times New Roman" w:hAnsi="Times New Roman" w:cs="Times New Roman"/>
          <w:sz w:val="24"/>
          <w:szCs w:val="24"/>
        </w:rPr>
        <w:t>Kinolon Antibiyotikler</w:t>
      </w:r>
      <w:r w:rsidR="008128F6" w:rsidRPr="00DA7B15">
        <w:rPr>
          <w:rFonts w:ascii="Times New Roman" w:hAnsi="Times New Roman" w:cs="Times New Roman"/>
          <w:sz w:val="24"/>
          <w:szCs w:val="24"/>
        </w:rPr>
        <w:t xml:space="preserve">: </w:t>
      </w:r>
      <w:r w:rsidRPr="00DA7B15">
        <w:rPr>
          <w:rFonts w:ascii="Times New Roman" w:hAnsi="Times New Roman" w:cs="Times New Roman"/>
          <w:sz w:val="24"/>
          <w:szCs w:val="24"/>
        </w:rPr>
        <w:t>Hayvan çalışmaları ile elde edilen veriler,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ile birlikte yüksek dozda kinolon alımının, konvülsiyon gelişme riskini</w:t>
      </w:r>
      <w:r w:rsidR="001F4A43" w:rsidRPr="00DA7B15">
        <w:rPr>
          <w:rFonts w:ascii="Times New Roman" w:hAnsi="Times New Roman" w:cs="Times New Roman"/>
          <w:sz w:val="24"/>
          <w:szCs w:val="24"/>
        </w:rPr>
        <w:t xml:space="preserve"> </w:t>
      </w:r>
      <w:r w:rsidRPr="00DA7B15">
        <w:rPr>
          <w:rFonts w:ascii="Times New Roman" w:hAnsi="Times New Roman" w:cs="Times New Roman"/>
          <w:sz w:val="24"/>
          <w:szCs w:val="24"/>
        </w:rPr>
        <w:t>artırabileceğini göstermektedir.</w:t>
      </w:r>
    </w:p>
    <w:p w:rsidR="0050060D" w:rsidRPr="00DA7B15" w:rsidRDefault="007E64BB"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 xml:space="preserve">Özel </w:t>
      </w:r>
      <w:proofErr w:type="gramStart"/>
      <w:r w:rsidRPr="00DA7B15">
        <w:rPr>
          <w:rFonts w:ascii="Times New Roman" w:hAnsi="Times New Roman" w:cs="Times New Roman"/>
          <w:b/>
          <w:sz w:val="24"/>
          <w:szCs w:val="24"/>
        </w:rPr>
        <w:t>popülasyon</w:t>
      </w:r>
      <w:r w:rsidR="0050060D" w:rsidRPr="00DA7B15">
        <w:rPr>
          <w:rFonts w:ascii="Times New Roman" w:hAnsi="Times New Roman" w:cs="Times New Roman"/>
          <w:b/>
          <w:sz w:val="24"/>
          <w:szCs w:val="24"/>
        </w:rPr>
        <w:t>lara</w:t>
      </w:r>
      <w:proofErr w:type="gramEnd"/>
      <w:r w:rsidR="0050060D" w:rsidRPr="00DA7B15">
        <w:rPr>
          <w:rFonts w:ascii="Times New Roman" w:hAnsi="Times New Roman" w:cs="Times New Roman"/>
          <w:b/>
          <w:sz w:val="24"/>
          <w:szCs w:val="24"/>
        </w:rPr>
        <w:t xml:space="preserve"> ilişkin ek bilgiler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 xml:space="preserve">Pediyatrik </w:t>
      </w:r>
      <w:proofErr w:type="gramStart"/>
      <w:r w:rsidRPr="00DA7B15">
        <w:rPr>
          <w:rFonts w:ascii="Times New Roman" w:hAnsi="Times New Roman" w:cs="Times New Roman"/>
          <w:b/>
          <w:sz w:val="24"/>
          <w:szCs w:val="24"/>
        </w:rPr>
        <w:t>popülasyon</w:t>
      </w:r>
      <w:proofErr w:type="gramEnd"/>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KETAVEL</w:t>
      </w:r>
      <w:r w:rsidR="00791F66" w:rsidRPr="00DA7B15">
        <w:rPr>
          <w:rFonts w:ascii="Times New Roman" w:hAnsi="Times New Roman" w:cs="Times New Roman"/>
          <w:sz w:val="24"/>
          <w:szCs w:val="24"/>
        </w:rPr>
        <w:t>’</w:t>
      </w:r>
      <w:r w:rsidR="0050060D" w:rsidRPr="00DA7B15">
        <w:rPr>
          <w:rFonts w:ascii="Times New Roman" w:hAnsi="Times New Roman" w:cs="Times New Roman"/>
          <w:sz w:val="24"/>
          <w:szCs w:val="24"/>
        </w:rPr>
        <w:t>in</w:t>
      </w:r>
      <w:proofErr w:type="spellEnd"/>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çocuklarda</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ve</w:t>
      </w:r>
      <w:r w:rsidR="001F4A43" w:rsidRPr="00DA7B15">
        <w:rPr>
          <w:rFonts w:ascii="Times New Roman" w:hAnsi="Times New Roman" w:cs="Times New Roman"/>
          <w:sz w:val="24"/>
          <w:szCs w:val="24"/>
        </w:rPr>
        <w:t xml:space="preserve"> </w:t>
      </w:r>
      <w:proofErr w:type="spellStart"/>
      <w:r w:rsidR="0050060D" w:rsidRPr="00DA7B15">
        <w:rPr>
          <w:rFonts w:ascii="Times New Roman" w:hAnsi="Times New Roman" w:cs="Times New Roman"/>
          <w:sz w:val="24"/>
          <w:szCs w:val="24"/>
        </w:rPr>
        <w:t>adolesanlarda</w:t>
      </w:r>
      <w:proofErr w:type="spellEnd"/>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yapılmış</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çalışmaları</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bulunmamaktadır.</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Bu</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nedenle</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güvenilirliği</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ve</w:t>
      </w:r>
      <w:r w:rsidR="001F4A43"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etkinliği</w:t>
      </w:r>
      <w:r w:rsidR="007E64BB" w:rsidRPr="00DA7B15">
        <w:rPr>
          <w:rFonts w:ascii="Times New Roman" w:hAnsi="Times New Roman" w:cs="Times New Roman"/>
          <w:sz w:val="24"/>
          <w:szCs w:val="24"/>
        </w:rPr>
        <w:t xml:space="preserve"> </w:t>
      </w:r>
      <w:r w:rsidR="0050060D" w:rsidRPr="00DA7B15">
        <w:rPr>
          <w:rFonts w:ascii="Times New Roman" w:hAnsi="Times New Roman" w:cs="Times New Roman"/>
          <w:sz w:val="24"/>
          <w:szCs w:val="24"/>
        </w:rPr>
        <w:t>kanıtlanmamıştır. 18 yaşından küçüklerde kullanılmamalıdır.</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4.6. Gebelik ve laktasyon</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Genel tavsiye</w:t>
      </w:r>
    </w:p>
    <w:p w:rsidR="0050060D" w:rsidRPr="00DA7B15" w:rsidRDefault="00890E7C"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Gebelik Kategorisi: C</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Çocuk doğurma potansiyeli bulunan kadınlar/Doğum kontrolü (Kontrasepsiyon)</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Prostaglandin sentezi inhibisyonu, gebeliği ve/veya embriyo/fetüs gelişimini ters yönden etkileyebilir. Epidemiyolojik çalışmalardan elde edilen veriler, gebeliğin erken dönemlerinde prostaglandin sentez inhibitörünün kullanımından sonra düşük ve kalp malformasyonları ve gastroşizis riskinde artış konusunda endişelen arttırmıştır. Kardiovasküler malformasyonlar için mutlak risk %1</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den az bir orandan yaklaşık olarak %1,5</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e yükselmiştir. Riskin doz ve tedavi süresi ile birlikte arttığına inanılmaktadır. Hayvanlarda, prostaglandin sentez inhibitörü uygulamasının, implantasyon öncesi ve sonrası kayıp ve embriyo fetal ölümde artışa neden olduğu gösterilmiştir. İlave olarak, organogenetik dönemde prostaglandin sentez inhibitörü verilmiş hayvanlarda kardiyovasküler dahil olmak üzere çeşitli malformasyonların insidansının artışı bildirilmiştir. Gene de, deksketoprofen trometamol ile yapılan hayvan çalışmaları reprodüktif toksisite göstermemiştir (bkz. </w:t>
      </w:r>
      <w:r w:rsidR="00890E7C" w:rsidRPr="00DA7B15">
        <w:rPr>
          <w:rFonts w:ascii="Times New Roman" w:hAnsi="Times New Roman" w:cs="Times New Roman"/>
          <w:sz w:val="24"/>
          <w:szCs w:val="24"/>
        </w:rPr>
        <w:t xml:space="preserve">Bölüm </w:t>
      </w:r>
      <w:proofErr w:type="gramStart"/>
      <w:r w:rsidRPr="00DA7B15">
        <w:rPr>
          <w:rFonts w:ascii="Times New Roman" w:hAnsi="Times New Roman" w:cs="Times New Roman"/>
          <w:sz w:val="24"/>
          <w:szCs w:val="24"/>
        </w:rPr>
        <w:t>5.3</w:t>
      </w:r>
      <w:proofErr w:type="gramEnd"/>
      <w:r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Gebelik dönemi</w:t>
      </w:r>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KETAVEL</w:t>
      </w:r>
      <w:r w:rsidR="001F4A43" w:rsidRPr="00DA7B15">
        <w:rPr>
          <w:rFonts w:ascii="Times New Roman" w:hAnsi="Times New Roman" w:cs="Times New Roman"/>
          <w:sz w:val="24"/>
          <w:szCs w:val="24"/>
        </w:rPr>
        <w:t xml:space="preserve"> gebeliğin üçüncü </w:t>
      </w:r>
      <w:proofErr w:type="spellStart"/>
      <w:r w:rsidR="001F4A43" w:rsidRPr="00DA7B15">
        <w:rPr>
          <w:rFonts w:ascii="Times New Roman" w:hAnsi="Times New Roman" w:cs="Times New Roman"/>
          <w:sz w:val="24"/>
          <w:szCs w:val="24"/>
        </w:rPr>
        <w:t>tri</w:t>
      </w:r>
      <w:r w:rsidR="0050060D" w:rsidRPr="00DA7B15">
        <w:rPr>
          <w:rFonts w:ascii="Times New Roman" w:hAnsi="Times New Roman" w:cs="Times New Roman"/>
          <w:sz w:val="24"/>
          <w:szCs w:val="24"/>
        </w:rPr>
        <w:t>mesterinde</w:t>
      </w:r>
      <w:proofErr w:type="spellEnd"/>
      <w:r w:rsidR="0050060D" w:rsidRPr="00DA7B15">
        <w:rPr>
          <w:rFonts w:ascii="Times New Roman" w:hAnsi="Times New Roman" w:cs="Times New Roman"/>
          <w:sz w:val="24"/>
          <w:szCs w:val="24"/>
        </w:rPr>
        <w:t xml:space="preserve"> </w:t>
      </w:r>
      <w:proofErr w:type="spellStart"/>
      <w:r w:rsidR="0050060D" w:rsidRPr="00DA7B15">
        <w:rPr>
          <w:rFonts w:ascii="Times New Roman" w:hAnsi="Times New Roman" w:cs="Times New Roman"/>
          <w:sz w:val="24"/>
          <w:szCs w:val="24"/>
        </w:rPr>
        <w:t>kontrendikedir</w:t>
      </w:r>
      <w:proofErr w:type="spellEnd"/>
      <w:r w:rsidR="0050060D"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Gebeliğin birinci ve ikinci tr</w:t>
      </w:r>
      <w:r w:rsidR="001F4A43" w:rsidRPr="00DA7B15">
        <w:rPr>
          <w:rFonts w:ascii="Times New Roman" w:hAnsi="Times New Roman" w:cs="Times New Roman"/>
          <w:sz w:val="24"/>
          <w:szCs w:val="24"/>
        </w:rPr>
        <w:t>i</w:t>
      </w:r>
      <w:r w:rsidRPr="00DA7B15">
        <w:rPr>
          <w:rFonts w:ascii="Times New Roman" w:hAnsi="Times New Roman" w:cs="Times New Roman"/>
          <w:sz w:val="24"/>
          <w:szCs w:val="24"/>
        </w:rPr>
        <w:t xml:space="preserve">mesterinde, deksketoprofen trometamol açık bir şekilde gerekli olmadığı takdirde verilmemelidir. Eğer deksketoprofen trometamol, gebe kalmaya </w:t>
      </w:r>
      <w:r w:rsidRPr="00DA7B15">
        <w:rPr>
          <w:rFonts w:ascii="Times New Roman" w:hAnsi="Times New Roman" w:cs="Times New Roman"/>
          <w:sz w:val="24"/>
          <w:szCs w:val="24"/>
        </w:rPr>
        <w:lastRenderedPageBreak/>
        <w:t>çalışan veya gebeliğin birinci ve ikinci trimesterinde olan bir kadın tarafından kullanılıyorsa, doz olabildiğince düşük tutulmalı ve tedavi süresi mümkün olduğu kadar kısa olmalıdır.</w:t>
      </w:r>
    </w:p>
    <w:p w:rsidR="001F4A43"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Gebeliğin üçüncü trimesteri süresince, bütün prostaglandin sentez inhibitörleri fetüste aşağıdaki etkileri yapabilir:</w:t>
      </w:r>
      <w:r w:rsidR="001F4A43" w:rsidRPr="00DA7B15">
        <w:rPr>
          <w:rFonts w:ascii="Times New Roman" w:hAnsi="Times New Roman" w:cs="Times New Roman"/>
          <w:sz w:val="24"/>
          <w:szCs w:val="24"/>
        </w:rPr>
        <w:t xml:space="preserve"> </w:t>
      </w:r>
    </w:p>
    <w:p w:rsidR="0050060D" w:rsidRPr="00DA7B15" w:rsidRDefault="0050060D" w:rsidP="001F4A43">
      <w:pPr>
        <w:pStyle w:val="ListeParagraf"/>
        <w:numPr>
          <w:ilvl w:val="0"/>
          <w:numId w:val="20"/>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kardiyopulmoner toksisite (duktus arteriyozusun prematüre kapanması ve pulmoner hipertansiyon);</w:t>
      </w:r>
    </w:p>
    <w:p w:rsidR="0050060D" w:rsidRPr="00DA7B15" w:rsidRDefault="0050060D" w:rsidP="001F4A43">
      <w:pPr>
        <w:pStyle w:val="ListeParagraf"/>
        <w:numPr>
          <w:ilvl w:val="0"/>
          <w:numId w:val="20"/>
        </w:num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oligohidroamniyoz ile böbrek yetmezliğine neden olabilecek böbrek disfonksiyonu;</w:t>
      </w:r>
    </w:p>
    <w:p w:rsidR="0050060D" w:rsidRPr="00DA7B15" w:rsidRDefault="0050060D" w:rsidP="001F4A43">
      <w:pPr>
        <w:shd w:val="clear" w:color="auto" w:fill="FFFFFF"/>
        <w:spacing w:line="360" w:lineRule="auto"/>
        <w:jc w:val="both"/>
        <w:rPr>
          <w:rFonts w:ascii="Times New Roman" w:hAnsi="Times New Roman" w:cs="Times New Roman"/>
          <w:sz w:val="24"/>
          <w:szCs w:val="24"/>
        </w:rPr>
      </w:pPr>
      <w:r w:rsidRPr="00DA7B15">
        <w:rPr>
          <w:rFonts w:ascii="Times New Roman" w:hAnsi="Times New Roman" w:cs="Times New Roman"/>
          <w:sz w:val="24"/>
          <w:szCs w:val="24"/>
        </w:rPr>
        <w:t>Gebeliğin sonunda anne ve yen</w:t>
      </w:r>
      <w:r w:rsidR="007E64BB" w:rsidRPr="00DA7B15">
        <w:rPr>
          <w:rFonts w:ascii="Times New Roman" w:hAnsi="Times New Roman" w:cs="Times New Roman"/>
          <w:sz w:val="24"/>
          <w:szCs w:val="24"/>
        </w:rPr>
        <w:t>i</w:t>
      </w:r>
      <w:r w:rsidRPr="00DA7B15">
        <w:rPr>
          <w:rFonts w:ascii="Times New Roman" w:hAnsi="Times New Roman" w:cs="Times New Roman"/>
          <w:sz w:val="24"/>
          <w:szCs w:val="24"/>
        </w:rPr>
        <w:t>doğan</w:t>
      </w:r>
      <w:r w:rsidR="00890E7C" w:rsidRPr="00DA7B15">
        <w:rPr>
          <w:rFonts w:ascii="Times New Roman" w:hAnsi="Times New Roman" w:cs="Times New Roman"/>
          <w:sz w:val="24"/>
          <w:szCs w:val="24"/>
        </w:rPr>
        <w:t>:</w:t>
      </w:r>
    </w:p>
    <w:p w:rsidR="0050060D" w:rsidRPr="00DA7B15" w:rsidRDefault="0050060D" w:rsidP="001F4A43">
      <w:pPr>
        <w:pStyle w:val="ListeParagraf"/>
        <w:numPr>
          <w:ilvl w:val="0"/>
          <w:numId w:val="20"/>
        </w:numPr>
        <w:shd w:val="clear" w:color="auto" w:fill="FFFFFF"/>
        <w:spacing w:line="360" w:lineRule="auto"/>
        <w:jc w:val="both"/>
        <w:rPr>
          <w:rFonts w:ascii="Times New Roman" w:hAnsi="Times New Roman" w:cs="Times New Roman"/>
          <w:sz w:val="24"/>
          <w:szCs w:val="24"/>
        </w:rPr>
      </w:pPr>
      <w:proofErr w:type="gramStart"/>
      <w:r w:rsidRPr="00DA7B15">
        <w:rPr>
          <w:rFonts w:ascii="Times New Roman" w:hAnsi="Times New Roman" w:cs="Times New Roman"/>
          <w:sz w:val="24"/>
          <w:szCs w:val="24"/>
        </w:rPr>
        <w:t>kanama</w:t>
      </w:r>
      <w:proofErr w:type="gramEnd"/>
      <w:r w:rsidRPr="00DA7B15">
        <w:rPr>
          <w:rFonts w:ascii="Times New Roman" w:hAnsi="Times New Roman" w:cs="Times New Roman"/>
          <w:sz w:val="24"/>
          <w:szCs w:val="24"/>
        </w:rPr>
        <w:t xml:space="preserve"> zamanının uzama olasılığı, çok düşük dozlarda bile meydana gelebilecek bir antiagregan etki;</w:t>
      </w:r>
    </w:p>
    <w:p w:rsidR="0050060D" w:rsidRPr="00DA7B15" w:rsidRDefault="0050060D" w:rsidP="001F4A43">
      <w:pPr>
        <w:pStyle w:val="ListeParagraf"/>
        <w:numPr>
          <w:ilvl w:val="0"/>
          <w:numId w:val="20"/>
        </w:numPr>
        <w:shd w:val="clear" w:color="auto" w:fill="FFFFFF"/>
        <w:spacing w:line="360" w:lineRule="auto"/>
        <w:jc w:val="both"/>
        <w:rPr>
          <w:rFonts w:ascii="Times New Roman" w:hAnsi="Times New Roman" w:cs="Times New Roman"/>
          <w:sz w:val="24"/>
          <w:szCs w:val="24"/>
        </w:rPr>
      </w:pPr>
      <w:proofErr w:type="gramStart"/>
      <w:r w:rsidRPr="00DA7B15">
        <w:rPr>
          <w:rFonts w:ascii="Times New Roman" w:hAnsi="Times New Roman" w:cs="Times New Roman"/>
          <w:sz w:val="24"/>
          <w:szCs w:val="24"/>
        </w:rPr>
        <w:t>gecikmiş</w:t>
      </w:r>
      <w:proofErr w:type="gramEnd"/>
      <w:r w:rsidRPr="00DA7B15">
        <w:rPr>
          <w:rFonts w:ascii="Times New Roman" w:hAnsi="Times New Roman" w:cs="Times New Roman"/>
          <w:sz w:val="24"/>
          <w:szCs w:val="24"/>
        </w:rPr>
        <w:t xml:space="preserve"> veya uzamış doğum eylemine neden olabilen uterus kontraksiyonu inhibisyonu.</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Laktasyon dönemi</w:t>
      </w:r>
    </w:p>
    <w:p w:rsidR="0050060D" w:rsidRPr="00DA7B15" w:rsidRDefault="00831252" w:rsidP="0050060D">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KETAVEL</w:t>
      </w:r>
      <w:r w:rsidR="0050060D" w:rsidRPr="00DA7B15">
        <w:rPr>
          <w:rFonts w:ascii="Times New Roman" w:hAnsi="Times New Roman" w:cs="Times New Roman"/>
          <w:sz w:val="24"/>
          <w:szCs w:val="24"/>
        </w:rPr>
        <w:t xml:space="preserve"> emzirme esnasında </w:t>
      </w:r>
      <w:proofErr w:type="spellStart"/>
      <w:r w:rsidR="0050060D" w:rsidRPr="00DA7B15">
        <w:rPr>
          <w:rFonts w:ascii="Times New Roman" w:hAnsi="Times New Roman" w:cs="Times New Roman"/>
          <w:sz w:val="24"/>
          <w:szCs w:val="24"/>
        </w:rPr>
        <w:t>kontrendikedir</w:t>
      </w:r>
      <w:proofErr w:type="spellEnd"/>
      <w:r w:rsidR="0050060D"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Bugüne kadar yapılan sınırlı çalışmalarda, anne sütünde çok düşük konsantrasyonlarda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görülebilmekle birlikte, deksketoprofenin anne sütüne geçip geçmediği bilinmemektir.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Üreme yeteneği/Fertilite</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Diğer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ile birlikte, deksketoprofen trometamol kullanımı fertiliteyi etkileyebilir ve gebe kalmaya çalışan kadınlarda önerilmemektedir. Gebe kalmakta zorlanan veya infertilite açısından araştırılan kadınlarda deksketoprofen trometamolün kesilmesi düşünülmelidir. Açıkça zorunlu olmadığı sürece gebeliğin birinci ve ikinci trimesterinde deksketoprofen trometamol kullanılmamalıdır.</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4.7.</w:t>
      </w:r>
      <w:r w:rsidRPr="00DA7B15">
        <w:rPr>
          <w:rFonts w:ascii="Times New Roman" w:hAnsi="Times New Roman" w:cs="Times New Roman"/>
          <w:b/>
          <w:sz w:val="24"/>
          <w:szCs w:val="24"/>
        </w:rPr>
        <w:tab/>
        <w:t>Araç ve makine kullanımı üzerindeki etkiler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alındıktan sonra sersemlik, baş dönmesi, halsizlik ve görme bozuklukları gibi istenmeyen etkiler olabilir. Etkilenmesi halinde, hastalar araç veya makine kullanmamalıdır.</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4.8.</w:t>
      </w:r>
      <w:r w:rsidRPr="00DA7B15">
        <w:rPr>
          <w:rFonts w:ascii="Times New Roman" w:hAnsi="Times New Roman" w:cs="Times New Roman"/>
          <w:b/>
          <w:sz w:val="24"/>
          <w:szCs w:val="24"/>
        </w:rPr>
        <w:tab/>
        <w:t>İstenmeyen etkiler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Klinik araştırmalarda deksketoprofen trometamol ile en azından olası ilişkili olabileceği bildirilen istenmeyen etkilerle, </w:t>
      </w:r>
      <w:proofErr w:type="spellStart"/>
      <w:r w:rsidR="00831252">
        <w:rPr>
          <w:rFonts w:ascii="Times New Roman" w:hAnsi="Times New Roman" w:cs="Times New Roman"/>
          <w:sz w:val="24"/>
          <w:szCs w:val="24"/>
        </w:rPr>
        <w:t>KETAVEL</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in</w:t>
      </w:r>
      <w:proofErr w:type="spellEnd"/>
      <w:r w:rsidRPr="00DA7B15">
        <w:rPr>
          <w:rFonts w:ascii="Times New Roman" w:hAnsi="Times New Roman" w:cs="Times New Roman"/>
          <w:sz w:val="24"/>
          <w:szCs w:val="24"/>
        </w:rPr>
        <w:t xml:space="preserve"> pazara verilmesinden sonra bildirilmiş olan </w:t>
      </w:r>
      <w:r w:rsidRPr="00DA7B15">
        <w:rPr>
          <w:rFonts w:ascii="Times New Roman" w:hAnsi="Times New Roman" w:cs="Times New Roman"/>
          <w:sz w:val="24"/>
          <w:szCs w:val="24"/>
        </w:rPr>
        <w:lastRenderedPageBreak/>
        <w:t>istenmeyen etkiler aşağıda tabloda verilmiş, sistem organ sınıfı ve görülme sıklığı olarak sınıflandırılmıştır:</w:t>
      </w:r>
    </w:p>
    <w:tbl>
      <w:tblPr>
        <w:tblW w:w="100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27"/>
        <w:gridCol w:w="1701"/>
        <w:gridCol w:w="1985"/>
        <w:gridCol w:w="2126"/>
        <w:gridCol w:w="2127"/>
      </w:tblGrid>
      <w:tr w:rsidR="0050060D" w:rsidRPr="00DA7B15" w:rsidTr="00890E7C">
        <w:trPr>
          <w:trHeight w:hRule="exact" w:val="1149"/>
        </w:trPr>
        <w:tc>
          <w:tcPr>
            <w:tcW w:w="2127" w:type="dxa"/>
            <w:shd w:val="clear" w:color="auto" w:fill="FFFFFF"/>
          </w:tcPr>
          <w:p w:rsidR="0050060D" w:rsidRPr="00DA7B15" w:rsidRDefault="0050060D" w:rsidP="00890E7C">
            <w:pPr>
              <w:shd w:val="clear" w:color="auto" w:fill="FFFFFF"/>
              <w:spacing w:line="288" w:lineRule="auto"/>
              <w:ind w:left="102"/>
              <w:jc w:val="center"/>
              <w:rPr>
                <w:rFonts w:ascii="Times New Roman" w:hAnsi="Times New Roman" w:cs="Times New Roman"/>
                <w:b/>
                <w:sz w:val="22"/>
                <w:szCs w:val="22"/>
              </w:rPr>
            </w:pPr>
            <w:r w:rsidRPr="00DA7B15">
              <w:rPr>
                <w:rFonts w:ascii="Times New Roman" w:hAnsi="Times New Roman" w:cs="Times New Roman"/>
                <w:b/>
                <w:sz w:val="22"/>
                <w:szCs w:val="22"/>
              </w:rPr>
              <w:t>SİSTEM ORGAN SINIFI</w:t>
            </w:r>
          </w:p>
        </w:tc>
        <w:tc>
          <w:tcPr>
            <w:tcW w:w="1701" w:type="dxa"/>
            <w:shd w:val="clear" w:color="auto" w:fill="FFFFFF"/>
          </w:tcPr>
          <w:p w:rsidR="003F47DA" w:rsidRPr="00DA7B15" w:rsidRDefault="0050060D" w:rsidP="00890E7C">
            <w:pPr>
              <w:shd w:val="clear" w:color="auto" w:fill="FFFFFF"/>
              <w:spacing w:line="288" w:lineRule="auto"/>
              <w:jc w:val="center"/>
              <w:rPr>
                <w:rFonts w:ascii="Times New Roman" w:hAnsi="Times New Roman" w:cs="Times New Roman"/>
                <w:b/>
                <w:sz w:val="22"/>
                <w:szCs w:val="22"/>
              </w:rPr>
            </w:pPr>
            <w:r w:rsidRPr="00DA7B15">
              <w:rPr>
                <w:rFonts w:ascii="Times New Roman" w:hAnsi="Times New Roman" w:cs="Times New Roman"/>
                <w:b/>
                <w:sz w:val="22"/>
                <w:szCs w:val="22"/>
              </w:rPr>
              <w:t>Yaygın</w:t>
            </w:r>
          </w:p>
          <w:p w:rsidR="0050060D" w:rsidRPr="00DA7B15" w:rsidRDefault="0050060D" w:rsidP="00890E7C">
            <w:pPr>
              <w:shd w:val="clear" w:color="auto" w:fill="FFFFFF"/>
              <w:spacing w:line="288" w:lineRule="auto"/>
              <w:jc w:val="center"/>
              <w:rPr>
                <w:rFonts w:ascii="Times New Roman" w:hAnsi="Times New Roman" w:cs="Times New Roman"/>
                <w:b/>
                <w:sz w:val="22"/>
                <w:szCs w:val="22"/>
              </w:rPr>
            </w:pPr>
            <w:r w:rsidRPr="00DA7B15">
              <w:rPr>
                <w:rFonts w:ascii="Times New Roman" w:hAnsi="Times New Roman" w:cs="Times New Roman"/>
                <w:b/>
                <w:sz w:val="22"/>
                <w:szCs w:val="22"/>
              </w:rPr>
              <w:t>(</w:t>
            </w:r>
            <w:r w:rsidR="00100C7A" w:rsidRPr="00DA7B15">
              <w:rPr>
                <w:rFonts w:ascii="Times New Roman" w:hAnsi="Times New Roman" w:cs="Times New Roman"/>
                <w:b/>
                <w:sz w:val="22"/>
                <w:szCs w:val="22"/>
              </w:rPr>
              <w:t>≥</w:t>
            </w:r>
            <w:r w:rsidRPr="00DA7B15">
              <w:rPr>
                <w:rFonts w:ascii="Times New Roman" w:hAnsi="Times New Roman" w:cs="Times New Roman"/>
                <w:b/>
                <w:sz w:val="22"/>
                <w:szCs w:val="22"/>
              </w:rPr>
              <w:t>1/100-&lt;1/10)</w:t>
            </w:r>
          </w:p>
        </w:tc>
        <w:tc>
          <w:tcPr>
            <w:tcW w:w="1985" w:type="dxa"/>
            <w:shd w:val="clear" w:color="auto" w:fill="FFFFFF"/>
          </w:tcPr>
          <w:p w:rsidR="0050060D" w:rsidRPr="00DA7B15" w:rsidRDefault="0050060D" w:rsidP="00890E7C">
            <w:pPr>
              <w:shd w:val="clear" w:color="auto" w:fill="FFFFFF"/>
              <w:spacing w:line="288" w:lineRule="auto"/>
              <w:jc w:val="center"/>
              <w:rPr>
                <w:rFonts w:ascii="Times New Roman" w:hAnsi="Times New Roman" w:cs="Times New Roman"/>
                <w:b/>
                <w:sz w:val="22"/>
                <w:szCs w:val="22"/>
              </w:rPr>
            </w:pPr>
            <w:r w:rsidRPr="00DA7B15">
              <w:rPr>
                <w:rFonts w:ascii="Times New Roman" w:hAnsi="Times New Roman" w:cs="Times New Roman"/>
                <w:b/>
                <w:sz w:val="22"/>
                <w:szCs w:val="22"/>
              </w:rPr>
              <w:t>Yaygın</w:t>
            </w:r>
            <w:r w:rsidR="00100C7A" w:rsidRPr="00DA7B15">
              <w:rPr>
                <w:rFonts w:ascii="Times New Roman" w:hAnsi="Times New Roman" w:cs="Times New Roman"/>
                <w:b/>
                <w:sz w:val="22"/>
                <w:szCs w:val="22"/>
              </w:rPr>
              <w:t xml:space="preserve"> o</w:t>
            </w:r>
            <w:r w:rsidRPr="00DA7B15">
              <w:rPr>
                <w:rFonts w:ascii="Times New Roman" w:hAnsi="Times New Roman" w:cs="Times New Roman"/>
                <w:b/>
                <w:sz w:val="22"/>
                <w:szCs w:val="22"/>
              </w:rPr>
              <w:t>lmayan</w:t>
            </w:r>
            <w:r w:rsidR="00100C7A"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w:t>
            </w:r>
            <w:r w:rsidR="00100C7A" w:rsidRPr="00DA7B15">
              <w:rPr>
                <w:rFonts w:ascii="Times New Roman" w:hAnsi="Times New Roman" w:cs="Times New Roman"/>
                <w:b/>
                <w:sz w:val="22"/>
                <w:szCs w:val="22"/>
              </w:rPr>
              <w:t>≥</w:t>
            </w:r>
            <w:r w:rsidRPr="00DA7B15">
              <w:rPr>
                <w:rFonts w:ascii="Times New Roman" w:hAnsi="Times New Roman" w:cs="Times New Roman"/>
                <w:b/>
                <w:sz w:val="22"/>
                <w:szCs w:val="22"/>
              </w:rPr>
              <w:t>l/1000-&lt;1/100)</w:t>
            </w:r>
          </w:p>
        </w:tc>
        <w:tc>
          <w:tcPr>
            <w:tcW w:w="2126" w:type="dxa"/>
            <w:shd w:val="clear" w:color="auto" w:fill="FFFFFF"/>
          </w:tcPr>
          <w:p w:rsidR="00BD61F6" w:rsidRPr="00DA7B15" w:rsidRDefault="0050060D" w:rsidP="00890E7C">
            <w:pPr>
              <w:shd w:val="clear" w:color="auto" w:fill="FFFFFF"/>
              <w:spacing w:line="288" w:lineRule="auto"/>
              <w:ind w:left="-40"/>
              <w:jc w:val="center"/>
              <w:rPr>
                <w:rFonts w:ascii="Times New Roman" w:hAnsi="Times New Roman" w:cs="Times New Roman"/>
                <w:b/>
                <w:sz w:val="22"/>
                <w:szCs w:val="22"/>
              </w:rPr>
            </w:pPr>
            <w:r w:rsidRPr="00DA7B15">
              <w:rPr>
                <w:rFonts w:ascii="Times New Roman" w:hAnsi="Times New Roman" w:cs="Times New Roman"/>
                <w:b/>
                <w:sz w:val="22"/>
                <w:szCs w:val="22"/>
              </w:rPr>
              <w:t>Seyrek</w:t>
            </w:r>
          </w:p>
          <w:p w:rsidR="0050060D" w:rsidRPr="00DA7B15" w:rsidRDefault="0050060D" w:rsidP="00890E7C">
            <w:pPr>
              <w:shd w:val="clear" w:color="auto" w:fill="FFFFFF"/>
              <w:spacing w:line="288" w:lineRule="auto"/>
              <w:ind w:left="-40"/>
              <w:jc w:val="center"/>
              <w:rPr>
                <w:rFonts w:ascii="Times New Roman" w:hAnsi="Times New Roman" w:cs="Times New Roman"/>
                <w:b/>
                <w:sz w:val="22"/>
                <w:szCs w:val="22"/>
              </w:rPr>
            </w:pPr>
            <w:r w:rsidRPr="00DA7B15">
              <w:rPr>
                <w:rFonts w:ascii="Times New Roman" w:hAnsi="Times New Roman" w:cs="Times New Roman"/>
                <w:b/>
                <w:sz w:val="22"/>
                <w:szCs w:val="22"/>
              </w:rPr>
              <w:t>(</w:t>
            </w:r>
            <w:r w:rsidR="00100C7A" w:rsidRPr="00DA7B15">
              <w:rPr>
                <w:rFonts w:ascii="Times New Roman" w:hAnsi="Times New Roman" w:cs="Times New Roman"/>
                <w:b/>
                <w:sz w:val="22"/>
                <w:szCs w:val="22"/>
              </w:rPr>
              <w:t>≥</w:t>
            </w:r>
            <w:r w:rsidRPr="00DA7B15">
              <w:rPr>
                <w:rFonts w:ascii="Times New Roman" w:hAnsi="Times New Roman" w:cs="Times New Roman"/>
                <w:b/>
                <w:sz w:val="22"/>
                <w:szCs w:val="22"/>
              </w:rPr>
              <w:t>1/10000-</w:t>
            </w:r>
            <w:r w:rsidR="00100C7A"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&lt;1/100)</w:t>
            </w:r>
          </w:p>
        </w:tc>
        <w:tc>
          <w:tcPr>
            <w:tcW w:w="2127" w:type="dxa"/>
            <w:shd w:val="clear" w:color="auto" w:fill="FFFFFF"/>
          </w:tcPr>
          <w:p w:rsidR="003F47DA" w:rsidRPr="00DA7B15" w:rsidRDefault="0050060D" w:rsidP="00890E7C">
            <w:pPr>
              <w:shd w:val="clear" w:color="auto" w:fill="FFFFFF"/>
              <w:spacing w:line="288" w:lineRule="auto"/>
              <w:jc w:val="center"/>
              <w:rPr>
                <w:rFonts w:ascii="Times New Roman" w:hAnsi="Times New Roman" w:cs="Times New Roman"/>
                <w:b/>
                <w:sz w:val="22"/>
                <w:szCs w:val="22"/>
              </w:rPr>
            </w:pPr>
            <w:r w:rsidRPr="00DA7B15">
              <w:rPr>
                <w:rFonts w:ascii="Times New Roman" w:hAnsi="Times New Roman" w:cs="Times New Roman"/>
                <w:b/>
                <w:sz w:val="22"/>
                <w:szCs w:val="22"/>
              </w:rPr>
              <w:t>Çok seyrek</w:t>
            </w:r>
          </w:p>
          <w:p w:rsidR="003F47DA" w:rsidRPr="00DA7B15" w:rsidRDefault="0050060D" w:rsidP="00890E7C">
            <w:pPr>
              <w:shd w:val="clear" w:color="auto" w:fill="FFFFFF"/>
              <w:spacing w:line="288" w:lineRule="auto"/>
              <w:jc w:val="center"/>
              <w:rPr>
                <w:rFonts w:ascii="Times New Roman" w:hAnsi="Times New Roman" w:cs="Times New Roman"/>
                <w:b/>
                <w:sz w:val="22"/>
                <w:szCs w:val="22"/>
              </w:rPr>
            </w:pPr>
            <w:proofErr w:type="gramStart"/>
            <w:r w:rsidRPr="00DA7B15">
              <w:rPr>
                <w:rFonts w:ascii="Times New Roman" w:hAnsi="Times New Roman" w:cs="Times New Roman"/>
                <w:b/>
                <w:sz w:val="22"/>
                <w:szCs w:val="22"/>
              </w:rPr>
              <w:t>izole</w:t>
            </w:r>
            <w:proofErr w:type="gramEnd"/>
            <w:r w:rsidRPr="00DA7B15">
              <w:rPr>
                <w:rFonts w:ascii="Times New Roman" w:hAnsi="Times New Roman" w:cs="Times New Roman"/>
                <w:b/>
                <w:sz w:val="22"/>
                <w:szCs w:val="22"/>
              </w:rPr>
              <w:t xml:space="preserve"> bildirimler</w:t>
            </w:r>
          </w:p>
          <w:p w:rsidR="0050060D" w:rsidRPr="00DA7B15" w:rsidRDefault="0050060D" w:rsidP="00890E7C">
            <w:pPr>
              <w:shd w:val="clear" w:color="auto" w:fill="FFFFFF"/>
              <w:spacing w:line="288" w:lineRule="auto"/>
              <w:jc w:val="center"/>
              <w:rPr>
                <w:rFonts w:ascii="Times New Roman" w:hAnsi="Times New Roman" w:cs="Times New Roman"/>
                <w:b/>
                <w:sz w:val="22"/>
                <w:szCs w:val="22"/>
              </w:rPr>
            </w:pPr>
            <w:r w:rsidRPr="00DA7B15">
              <w:rPr>
                <w:rFonts w:ascii="Times New Roman" w:hAnsi="Times New Roman" w:cs="Times New Roman"/>
                <w:b/>
                <w:sz w:val="22"/>
                <w:szCs w:val="22"/>
              </w:rPr>
              <w:t>(&lt; 1/10000)</w:t>
            </w:r>
          </w:p>
        </w:tc>
      </w:tr>
      <w:tr w:rsidR="0050060D" w:rsidRPr="00DA7B15" w:rsidTr="00890E7C">
        <w:trPr>
          <w:trHeight w:hRule="exact" w:val="698"/>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Kan ve lenfatik sistem</w:t>
            </w:r>
            <w:r w:rsidR="00890E7C"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nötropeni, trombositopeni</w:t>
            </w:r>
          </w:p>
        </w:tc>
      </w:tr>
      <w:tr w:rsidR="0050060D" w:rsidRPr="00DA7B15" w:rsidTr="00890E7C">
        <w:trPr>
          <w:trHeight w:hRule="exact" w:val="990"/>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Bağışıklık sistemi 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anafilaktik şok dahil anafilaktik reaksiyon</w:t>
            </w:r>
          </w:p>
        </w:tc>
      </w:tr>
      <w:tr w:rsidR="0050060D" w:rsidRPr="00DA7B15" w:rsidTr="00890E7C">
        <w:trPr>
          <w:trHeight w:hRule="exact" w:val="1128"/>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Metabolizma ve</w:t>
            </w:r>
            <w:r w:rsidR="00100C7A"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beslenme</w:t>
            </w:r>
            <w:r w:rsidR="00100C7A"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anoreksi</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r>
      <w:tr w:rsidR="0050060D" w:rsidRPr="00DA7B15" w:rsidTr="00890E7C">
        <w:trPr>
          <w:trHeight w:hRule="exact" w:val="719"/>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Psikiyatrik bozukluklar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insomnia anksiyete</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r>
      <w:tr w:rsidR="0050060D" w:rsidRPr="00DA7B15" w:rsidTr="00890E7C">
        <w:trPr>
          <w:trHeight w:hRule="exact" w:val="1126"/>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Sinir sistemi 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başağrısı, sersemlik, somnolans</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parestezi, senkop</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r>
      <w:tr w:rsidR="0050060D" w:rsidRPr="00DA7B15" w:rsidTr="00890E7C">
        <w:trPr>
          <w:trHeight w:hRule="exact" w:val="419"/>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Göz 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bulanık</w:t>
            </w:r>
            <w:proofErr w:type="gramEnd"/>
            <w:r w:rsidRPr="00DA7B15">
              <w:rPr>
                <w:rFonts w:ascii="Times New Roman" w:hAnsi="Times New Roman" w:cs="Times New Roman"/>
                <w:sz w:val="24"/>
                <w:szCs w:val="24"/>
              </w:rPr>
              <w:t xml:space="preserve"> görme</w:t>
            </w:r>
          </w:p>
        </w:tc>
      </w:tr>
      <w:tr w:rsidR="0050060D" w:rsidRPr="00DA7B15" w:rsidTr="00890E7C">
        <w:trPr>
          <w:trHeight w:hRule="exact" w:val="709"/>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Kulak ve labirent 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vertigo</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tinnitus</w:t>
            </w:r>
          </w:p>
        </w:tc>
      </w:tr>
      <w:tr w:rsidR="0050060D" w:rsidRPr="00DA7B15" w:rsidTr="00890E7C">
        <w:trPr>
          <w:trHeight w:hRule="exact" w:val="723"/>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Kardiyak bozukluklar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palpitasyonlar</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taşikardi</w:t>
            </w:r>
            <w:proofErr w:type="gramEnd"/>
          </w:p>
        </w:tc>
      </w:tr>
      <w:tr w:rsidR="0050060D" w:rsidRPr="00DA7B15" w:rsidTr="00890E7C">
        <w:trPr>
          <w:trHeight w:hRule="exact" w:val="703"/>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Vasküler bozukluklar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yüz</w:t>
            </w:r>
            <w:proofErr w:type="gramEnd"/>
            <w:r w:rsidRPr="00DA7B15">
              <w:rPr>
                <w:rFonts w:ascii="Times New Roman" w:hAnsi="Times New Roman" w:cs="Times New Roman"/>
                <w:sz w:val="24"/>
                <w:szCs w:val="24"/>
              </w:rPr>
              <w:t xml:space="preserve"> kızarması</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hipertansiyon</w:t>
            </w:r>
            <w:proofErr w:type="gramEnd"/>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hipotansiyon</w:t>
            </w:r>
            <w:proofErr w:type="gramEnd"/>
          </w:p>
        </w:tc>
      </w:tr>
      <w:tr w:rsidR="0050060D" w:rsidRPr="00DA7B15" w:rsidTr="00890E7C">
        <w:trPr>
          <w:trHeight w:hRule="exact" w:val="1138"/>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Solunum, torasik ve</w:t>
            </w:r>
            <w:r w:rsidR="00100C7A"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mediastenal</w:t>
            </w:r>
            <w:r w:rsidR="00100C7A"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bozukluklar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bradipne</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bronkospazm, dispne</w:t>
            </w:r>
          </w:p>
        </w:tc>
      </w:tr>
      <w:tr w:rsidR="0050060D" w:rsidRPr="00DA7B15" w:rsidTr="00890E7C">
        <w:trPr>
          <w:trHeight w:hRule="exact" w:val="2402"/>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Gastrointestinal bozukluklar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bulantı</w:t>
            </w:r>
            <w:proofErr w:type="gramEnd"/>
            <w:r w:rsidRPr="00DA7B15">
              <w:rPr>
                <w:rFonts w:ascii="Times New Roman" w:hAnsi="Times New Roman" w:cs="Times New Roman"/>
                <w:sz w:val="24"/>
                <w:szCs w:val="24"/>
              </w:rPr>
              <w:t xml:space="preserve"> ve/veya kusma,</w:t>
            </w:r>
            <w:r w:rsidR="00100C7A" w:rsidRPr="00DA7B15">
              <w:rPr>
                <w:rFonts w:ascii="Times New Roman" w:hAnsi="Times New Roman" w:cs="Times New Roman"/>
                <w:sz w:val="24"/>
                <w:szCs w:val="24"/>
              </w:rPr>
              <w:t xml:space="preserve"> </w:t>
            </w:r>
            <w:r w:rsidRPr="00DA7B15">
              <w:rPr>
                <w:rFonts w:ascii="Times New Roman" w:hAnsi="Times New Roman" w:cs="Times New Roman"/>
                <w:sz w:val="24"/>
                <w:szCs w:val="24"/>
              </w:rPr>
              <w:t>abdominal ağrı, diyare, dispepsi</w:t>
            </w: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gastrit</w:t>
            </w:r>
            <w:proofErr w:type="gramEnd"/>
            <w:r w:rsidRPr="00DA7B15">
              <w:rPr>
                <w:rFonts w:ascii="Times New Roman" w:hAnsi="Times New Roman" w:cs="Times New Roman"/>
                <w:sz w:val="24"/>
                <w:szCs w:val="24"/>
              </w:rPr>
              <w:t>, konstipasyon ağız kuruluğu, flatulans</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peptik ülser, peptik</w:t>
            </w:r>
            <w:r w:rsidR="00100C7A" w:rsidRPr="00DA7B15">
              <w:rPr>
                <w:rFonts w:ascii="Times New Roman" w:hAnsi="Times New Roman" w:cs="Times New Roman"/>
                <w:sz w:val="24"/>
                <w:szCs w:val="24"/>
              </w:rPr>
              <w:t xml:space="preserve"> </w:t>
            </w:r>
            <w:r w:rsidRPr="00DA7B15">
              <w:rPr>
                <w:rFonts w:ascii="Times New Roman" w:hAnsi="Times New Roman" w:cs="Times New Roman"/>
                <w:sz w:val="24"/>
                <w:szCs w:val="24"/>
              </w:rPr>
              <w:t>ülser kanaması veya perforasyonu (bk</w:t>
            </w:r>
            <w:r w:rsidR="008B47B3" w:rsidRPr="00DA7B15">
              <w:rPr>
                <w:rFonts w:ascii="Times New Roman" w:hAnsi="Times New Roman" w:cs="Times New Roman"/>
                <w:sz w:val="24"/>
                <w:szCs w:val="24"/>
              </w:rPr>
              <w:t>z. Bölüm</w:t>
            </w:r>
            <w:r w:rsidRPr="00DA7B15">
              <w:rPr>
                <w:rFonts w:ascii="Times New Roman" w:hAnsi="Times New Roman" w:cs="Times New Roman"/>
                <w:sz w:val="24"/>
                <w:szCs w:val="24"/>
              </w:rPr>
              <w:t xml:space="preserve">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pankreatit</w:t>
            </w:r>
          </w:p>
        </w:tc>
      </w:tr>
      <w:tr w:rsidR="0050060D" w:rsidRPr="00DA7B15" w:rsidTr="00890E7C">
        <w:trPr>
          <w:trHeight w:hRule="exact" w:val="706"/>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Hepatobiliyer bozukluklar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hepatoselüler hasar</w:t>
            </w:r>
          </w:p>
        </w:tc>
      </w:tr>
      <w:tr w:rsidR="0050060D" w:rsidRPr="00DA7B15" w:rsidTr="00890E7C">
        <w:trPr>
          <w:trHeight w:hRule="exact" w:val="2991"/>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lastRenderedPageBreak/>
              <w:t>Cilt ve subkütan doku 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cilt</w:t>
            </w:r>
            <w:proofErr w:type="gramEnd"/>
            <w:r w:rsidRPr="00DA7B15">
              <w:rPr>
                <w:rFonts w:ascii="Times New Roman" w:hAnsi="Times New Roman" w:cs="Times New Roman"/>
                <w:sz w:val="24"/>
                <w:szCs w:val="24"/>
              </w:rPr>
              <w:t xml:space="preserve"> döküntüleri</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ürtiker</w:t>
            </w:r>
            <w:proofErr w:type="gramEnd"/>
            <w:r w:rsidRPr="00DA7B15">
              <w:rPr>
                <w:rFonts w:ascii="Times New Roman" w:hAnsi="Times New Roman" w:cs="Times New Roman"/>
                <w:sz w:val="24"/>
                <w:szCs w:val="24"/>
              </w:rPr>
              <w:t>, akne, terlemede artma</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Stevens Johnson sendromu,</w:t>
            </w:r>
            <w:r w:rsidR="00100C7A" w:rsidRPr="00DA7B15">
              <w:rPr>
                <w:rFonts w:ascii="Times New Roman" w:hAnsi="Times New Roman" w:cs="Times New Roman"/>
                <w:sz w:val="24"/>
                <w:szCs w:val="24"/>
              </w:rPr>
              <w:t xml:space="preserve"> </w:t>
            </w:r>
            <w:r w:rsidRPr="00DA7B15">
              <w:rPr>
                <w:rFonts w:ascii="Times New Roman" w:hAnsi="Times New Roman" w:cs="Times New Roman"/>
                <w:sz w:val="24"/>
                <w:szCs w:val="24"/>
              </w:rPr>
              <w:t>toksik epidermal nekroliz (Lyell</w:t>
            </w:r>
            <w:r w:rsidR="00100C7A" w:rsidRPr="00DA7B15">
              <w:rPr>
                <w:rFonts w:ascii="Times New Roman" w:hAnsi="Times New Roman" w:cs="Times New Roman"/>
                <w:sz w:val="24"/>
                <w:szCs w:val="24"/>
              </w:rPr>
              <w:t xml:space="preserve"> </w:t>
            </w:r>
            <w:r w:rsidRPr="00DA7B15">
              <w:rPr>
                <w:rFonts w:ascii="Times New Roman" w:hAnsi="Times New Roman" w:cs="Times New Roman"/>
                <w:sz w:val="24"/>
                <w:szCs w:val="24"/>
              </w:rPr>
              <w:t>sendromu),</w:t>
            </w:r>
            <w:r w:rsidR="00100C7A" w:rsidRPr="00DA7B15">
              <w:rPr>
                <w:rFonts w:ascii="Times New Roman" w:hAnsi="Times New Roman" w:cs="Times New Roman"/>
                <w:sz w:val="24"/>
                <w:szCs w:val="24"/>
              </w:rPr>
              <w:t xml:space="preserve"> </w:t>
            </w:r>
            <w:r w:rsidRPr="00DA7B15">
              <w:rPr>
                <w:rFonts w:ascii="Times New Roman" w:hAnsi="Times New Roman" w:cs="Times New Roman"/>
                <w:sz w:val="24"/>
                <w:szCs w:val="24"/>
              </w:rPr>
              <w:t>anjiyonörotik ödem, yüzde</w:t>
            </w:r>
            <w:r w:rsidR="00100C7A" w:rsidRPr="00DA7B15">
              <w:rPr>
                <w:rFonts w:ascii="Times New Roman" w:hAnsi="Times New Roman" w:cs="Times New Roman"/>
                <w:sz w:val="24"/>
                <w:szCs w:val="24"/>
              </w:rPr>
              <w:t xml:space="preserve"> </w:t>
            </w:r>
            <w:r w:rsidRPr="00DA7B15">
              <w:rPr>
                <w:rFonts w:ascii="Times New Roman" w:hAnsi="Times New Roman" w:cs="Times New Roman"/>
                <w:sz w:val="24"/>
                <w:szCs w:val="24"/>
              </w:rPr>
              <w:t>ödem, fotosensitivite</w:t>
            </w:r>
          </w:p>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reaksiyonları</w:t>
            </w:r>
            <w:proofErr w:type="gramEnd"/>
            <w:r w:rsidRPr="00DA7B15">
              <w:rPr>
                <w:rFonts w:ascii="Times New Roman" w:hAnsi="Times New Roman" w:cs="Times New Roman"/>
                <w:sz w:val="24"/>
                <w:szCs w:val="24"/>
              </w:rPr>
              <w:t>, kaşıntı</w:t>
            </w:r>
          </w:p>
        </w:tc>
      </w:tr>
      <w:tr w:rsidR="0050060D" w:rsidRPr="00DA7B15" w:rsidTr="00890E7C">
        <w:trPr>
          <w:trHeight w:hRule="exact" w:val="1262"/>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Musküloskeletal bozukluklar ve bağ dokusu</w:t>
            </w:r>
            <w:r w:rsidR="00890E7C" w:rsidRPr="00DA7B15">
              <w:rPr>
                <w:rFonts w:ascii="Times New Roman" w:hAnsi="Times New Roman" w:cs="Times New Roman"/>
                <w:b/>
                <w:sz w:val="22"/>
                <w:szCs w:val="22"/>
              </w:rPr>
              <w:t xml:space="preserve"> </w:t>
            </w:r>
            <w:r w:rsidRPr="00DA7B15">
              <w:rPr>
                <w:rFonts w:ascii="Times New Roman" w:hAnsi="Times New Roman" w:cs="Times New Roman"/>
                <w:b/>
                <w:sz w:val="22"/>
                <w:szCs w:val="22"/>
              </w:rPr>
              <w:t>bozuklukları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sırt</w:t>
            </w:r>
            <w:proofErr w:type="gramEnd"/>
            <w:r w:rsidRPr="00DA7B15">
              <w:rPr>
                <w:rFonts w:ascii="Times New Roman" w:hAnsi="Times New Roman" w:cs="Times New Roman"/>
                <w:sz w:val="24"/>
                <w:szCs w:val="24"/>
              </w:rPr>
              <w:t xml:space="preserve"> ağrısı</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r>
      <w:tr w:rsidR="0050060D" w:rsidRPr="00DA7B15" w:rsidTr="00890E7C">
        <w:trPr>
          <w:trHeight w:hRule="exact" w:val="712"/>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Renal ve üriner bozukluklar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poliüri</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 xml:space="preserve">nefrit veya nefrotik </w:t>
            </w:r>
            <w:proofErr w:type="gramStart"/>
            <w:r w:rsidRPr="00DA7B15">
              <w:rPr>
                <w:rFonts w:ascii="Times New Roman" w:hAnsi="Times New Roman" w:cs="Times New Roman"/>
                <w:sz w:val="24"/>
                <w:szCs w:val="24"/>
              </w:rPr>
              <w:t>sendrom</w:t>
            </w:r>
            <w:proofErr w:type="gramEnd"/>
          </w:p>
        </w:tc>
      </w:tr>
      <w:tr w:rsidR="0050060D" w:rsidRPr="00DA7B15" w:rsidTr="00890E7C">
        <w:trPr>
          <w:trHeight w:hRule="exact" w:val="1702"/>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Üreme sistemi ve meme hastalıkları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menstrüel bozukluklar; prostatik bozukluklar</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r>
      <w:tr w:rsidR="0050060D" w:rsidRPr="00DA7B15" w:rsidTr="006105C1">
        <w:trPr>
          <w:trHeight w:hRule="exact" w:val="1144"/>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Genel bozukluklar ve uygulama bölgesi durumları</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yorgunluk</w:t>
            </w:r>
            <w:proofErr w:type="gramEnd"/>
            <w:r w:rsidRPr="00DA7B15">
              <w:rPr>
                <w:rFonts w:ascii="Times New Roman" w:hAnsi="Times New Roman" w:cs="Times New Roman"/>
                <w:sz w:val="24"/>
                <w:szCs w:val="24"/>
              </w:rPr>
              <w:t>, ağrı, asteni, rigor, kırgınlık</w:t>
            </w: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r w:rsidRPr="00DA7B15">
              <w:rPr>
                <w:rFonts w:ascii="Times New Roman" w:hAnsi="Times New Roman" w:cs="Times New Roman"/>
                <w:sz w:val="24"/>
                <w:szCs w:val="24"/>
              </w:rPr>
              <w:t>Periferal ödem</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r>
      <w:tr w:rsidR="0050060D" w:rsidRPr="00DA7B15" w:rsidTr="00890E7C">
        <w:trPr>
          <w:trHeight w:hRule="exact" w:val="988"/>
        </w:trPr>
        <w:tc>
          <w:tcPr>
            <w:tcW w:w="2127" w:type="dxa"/>
            <w:shd w:val="clear" w:color="auto" w:fill="FFFFFF"/>
          </w:tcPr>
          <w:p w:rsidR="0050060D" w:rsidRPr="00DA7B15" w:rsidRDefault="0050060D" w:rsidP="00890E7C">
            <w:pPr>
              <w:shd w:val="clear" w:color="auto" w:fill="FFFFFF"/>
              <w:spacing w:line="288" w:lineRule="auto"/>
              <w:ind w:left="102"/>
              <w:rPr>
                <w:rFonts w:ascii="Times New Roman" w:hAnsi="Times New Roman" w:cs="Times New Roman"/>
                <w:b/>
                <w:sz w:val="22"/>
                <w:szCs w:val="22"/>
              </w:rPr>
            </w:pPr>
            <w:r w:rsidRPr="00DA7B15">
              <w:rPr>
                <w:rFonts w:ascii="Times New Roman" w:hAnsi="Times New Roman" w:cs="Times New Roman"/>
                <w:b/>
                <w:sz w:val="22"/>
                <w:szCs w:val="22"/>
              </w:rPr>
              <w:t>İncelemeler</w:t>
            </w:r>
          </w:p>
        </w:tc>
        <w:tc>
          <w:tcPr>
            <w:tcW w:w="1701"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1985"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c>
          <w:tcPr>
            <w:tcW w:w="2126"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roofErr w:type="gramStart"/>
            <w:r w:rsidRPr="00DA7B15">
              <w:rPr>
                <w:rFonts w:ascii="Times New Roman" w:hAnsi="Times New Roman" w:cs="Times New Roman"/>
                <w:sz w:val="24"/>
                <w:szCs w:val="24"/>
              </w:rPr>
              <w:t>karaciğer</w:t>
            </w:r>
            <w:proofErr w:type="gramEnd"/>
            <w:r w:rsidRPr="00DA7B15">
              <w:rPr>
                <w:rFonts w:ascii="Times New Roman" w:hAnsi="Times New Roman" w:cs="Times New Roman"/>
                <w:sz w:val="24"/>
                <w:szCs w:val="24"/>
              </w:rPr>
              <w:t xml:space="preserve"> fonksiyon testi anormalliği</w:t>
            </w:r>
          </w:p>
        </w:tc>
        <w:tc>
          <w:tcPr>
            <w:tcW w:w="2127" w:type="dxa"/>
            <w:shd w:val="clear" w:color="auto" w:fill="FFFFFF"/>
          </w:tcPr>
          <w:p w:rsidR="0050060D" w:rsidRPr="00DA7B15" w:rsidRDefault="0050060D" w:rsidP="00890E7C">
            <w:pPr>
              <w:shd w:val="clear" w:color="auto" w:fill="FFFFFF"/>
              <w:spacing w:line="288" w:lineRule="auto"/>
              <w:ind w:left="142"/>
              <w:rPr>
                <w:rFonts w:ascii="Times New Roman" w:hAnsi="Times New Roman" w:cs="Times New Roman"/>
                <w:sz w:val="24"/>
                <w:szCs w:val="24"/>
              </w:rPr>
            </w:pPr>
          </w:p>
        </w:tc>
      </w:tr>
    </w:tbl>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b/>
          <w:sz w:val="24"/>
          <w:szCs w:val="24"/>
        </w:rPr>
        <w:t>Gastrointestinal</w:t>
      </w:r>
      <w:r w:rsidR="00890E7C" w:rsidRPr="00DA7B15">
        <w:rPr>
          <w:rFonts w:ascii="Times New Roman" w:hAnsi="Times New Roman" w:cs="Times New Roman"/>
          <w:b/>
          <w:sz w:val="24"/>
          <w:szCs w:val="24"/>
        </w:rPr>
        <w:t xml:space="preserve">: </w:t>
      </w:r>
      <w:r w:rsidRPr="00DA7B15">
        <w:rPr>
          <w:rFonts w:ascii="Times New Roman" w:hAnsi="Times New Roman" w:cs="Times New Roman"/>
          <w:sz w:val="24"/>
          <w:szCs w:val="24"/>
        </w:rPr>
        <w:t xml:space="preserve">En yaygın gözlenen advers olaylar, gastrointestinal olanlardır. Bazen ölümcül peptik ülser, perforasyon veya gastrointestinal kanama, özellikle yaşlılarda meydana gelebilir (bkz. </w:t>
      </w:r>
      <w:r w:rsidR="008B47B3"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 Bulantı, kusma, ishal, flatulans, konstipasyon, dispepsi, karın ağrısı, melena, hematemez, ülseratif stomatit, kolit ve Crohn h</w:t>
      </w:r>
      <w:r w:rsidR="00100C7A" w:rsidRPr="00DA7B15">
        <w:rPr>
          <w:rFonts w:ascii="Times New Roman" w:hAnsi="Times New Roman" w:cs="Times New Roman"/>
          <w:sz w:val="24"/>
          <w:szCs w:val="24"/>
        </w:rPr>
        <w:t xml:space="preserve">astalığında şiddetlenme (bkz. </w:t>
      </w:r>
      <w:r w:rsidR="008B47B3" w:rsidRPr="00DA7B15">
        <w:rPr>
          <w:rFonts w:ascii="Times New Roman" w:hAnsi="Times New Roman" w:cs="Times New Roman"/>
          <w:sz w:val="24"/>
          <w:szCs w:val="24"/>
        </w:rPr>
        <w:t>B</w:t>
      </w:r>
      <w:r w:rsidR="00100C7A" w:rsidRPr="00DA7B15">
        <w:rPr>
          <w:rFonts w:ascii="Times New Roman" w:hAnsi="Times New Roman" w:cs="Times New Roman"/>
          <w:sz w:val="24"/>
          <w:szCs w:val="24"/>
        </w:rPr>
        <w:t>ö</w:t>
      </w:r>
      <w:r w:rsidRPr="00DA7B15">
        <w:rPr>
          <w:rFonts w:ascii="Times New Roman" w:hAnsi="Times New Roman" w:cs="Times New Roman"/>
          <w:sz w:val="24"/>
          <w:szCs w:val="24"/>
        </w:rPr>
        <w:t xml:space="preserve">lüm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 xml:space="preserve"> </w:t>
      </w:r>
      <w:r w:rsidR="00814FF0" w:rsidRPr="00DA7B15">
        <w:rPr>
          <w:rFonts w:ascii="Times New Roman" w:hAnsi="Times New Roman" w:cs="Times New Roman"/>
          <w:sz w:val="24"/>
          <w:szCs w:val="24"/>
        </w:rPr>
        <w:t>Ö</w:t>
      </w:r>
      <w:r w:rsidRPr="00DA7B15">
        <w:rPr>
          <w:rFonts w:ascii="Times New Roman" w:hAnsi="Times New Roman" w:cs="Times New Roman"/>
          <w:sz w:val="24"/>
          <w:szCs w:val="24"/>
        </w:rPr>
        <w:t>zel uyarılar ve kullanım önlemleri) uygulama sonrasında bildirilmiştir. Daha az sıklıkta, gastrit gözlenmiştir. Pankreatit çok nadir olarak bildirilmiştir.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lerle tedavi sonrasında aşırı duyarlılık reaksiyonları bildirilmiştir. Bunlar, (a) </w:t>
      </w:r>
      <w:proofErr w:type="gramStart"/>
      <w:r w:rsidRPr="00DA7B15">
        <w:rPr>
          <w:rFonts w:ascii="Times New Roman" w:hAnsi="Times New Roman" w:cs="Times New Roman"/>
          <w:sz w:val="24"/>
          <w:szCs w:val="24"/>
        </w:rPr>
        <w:t>spesifik</w:t>
      </w:r>
      <w:proofErr w:type="gramEnd"/>
      <w:r w:rsidRPr="00DA7B15">
        <w:rPr>
          <w:rFonts w:ascii="Times New Roman" w:hAnsi="Times New Roman" w:cs="Times New Roman"/>
          <w:sz w:val="24"/>
          <w:szCs w:val="24"/>
        </w:rPr>
        <w:t xml:space="preserve"> olmayan alerjik reaksiyon ve anafilaksi, (b) astım, şiddetli astım, bronkospazm veya dispneyi içeren solunum yolu reaktivitesi ya da (c) değişik türde döküntüler, ürtiker, purpura, yüz ödemi ve daha seyrek görülen eksfolyatif büllöz dermatoz (epidermal nekroliz ve eritema multiforme dahil) gibi çeşitli cilt bozukluklarını içerebilir.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lastRenderedPageBreak/>
        <w:t>Ödem, hipertansiyon ve kalp yetmezliği NSAİİ tedavisi ile ilişkili olarak bildirilmiştir.</w:t>
      </w:r>
    </w:p>
    <w:p w:rsidR="00890E7C" w:rsidRPr="00DA7B15" w:rsidRDefault="00890E7C"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Diğer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 ile olduğu gibi, aşağıdaki istenmeyen etkiler görülebilir: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Sistemik lupus eritematozus veya karışık bağ dokusu hastalığı olanlarda özellikle daha fazla görülebilen aseptik menenjit; hematolojik reaksiyonlar (purpura, aplast</w:t>
      </w:r>
      <w:r w:rsidR="00100C7A" w:rsidRPr="00DA7B15">
        <w:rPr>
          <w:rFonts w:ascii="Times New Roman" w:hAnsi="Times New Roman" w:cs="Times New Roman"/>
          <w:sz w:val="24"/>
          <w:szCs w:val="24"/>
        </w:rPr>
        <w:t>i</w:t>
      </w:r>
      <w:r w:rsidRPr="00DA7B15">
        <w:rPr>
          <w:rFonts w:ascii="Times New Roman" w:hAnsi="Times New Roman" w:cs="Times New Roman"/>
          <w:sz w:val="24"/>
          <w:szCs w:val="24"/>
        </w:rPr>
        <w:t>k ve hemolitik anemi ve nadir olarak agranülositoz ve medüller hipoplazi).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Steven Johnson Sendromu ve Toksik Epidermal Nekroliz dahil</w:t>
      </w:r>
      <w:r w:rsidR="00890E7C" w:rsidRPr="00DA7B15">
        <w:rPr>
          <w:rFonts w:ascii="Times New Roman" w:hAnsi="Times New Roman" w:cs="Times New Roman"/>
          <w:sz w:val="24"/>
          <w:szCs w:val="24"/>
        </w:rPr>
        <w:t xml:space="preserve"> bülloz reaksiyonlar (çok nadir</w:t>
      </w:r>
      <w:r w:rsidRPr="00DA7B15">
        <w:rPr>
          <w:rFonts w:ascii="Times New Roman" w:hAnsi="Times New Roman" w:cs="Times New Roman"/>
          <w:sz w:val="24"/>
          <w:szCs w:val="24"/>
        </w:rPr>
        <w:t>). Fotosensivite.</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Klinik çalışma ve epidemiyolojik veriler, bazı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lerin kullanımının (özellikle yüksek dozlarda ve uzun süreli tedavide) arteryel trombotik olayların (özellikle miyokard enfarktüsü veya inme) riskinde küçük bir artış ile ilişkili olabileceğini düşündürmektedir, (bkz. </w:t>
      </w:r>
      <w:r w:rsidR="00416EC0" w:rsidRPr="00DA7B15">
        <w:rPr>
          <w:rFonts w:ascii="Times New Roman" w:hAnsi="Times New Roman" w:cs="Times New Roman"/>
          <w:sz w:val="24"/>
          <w:szCs w:val="24"/>
        </w:rPr>
        <w:t>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w:t>
      </w:r>
    </w:p>
    <w:p w:rsidR="00416EC0" w:rsidRPr="00DA7B15" w:rsidRDefault="00416EC0"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Daha nadir rapor edilen diğer advers reaksiyonlar şunlardır: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b/>
          <w:sz w:val="24"/>
          <w:szCs w:val="24"/>
        </w:rPr>
        <w:t>Renal</w:t>
      </w:r>
      <w:r w:rsidR="00941285" w:rsidRPr="00DA7B15">
        <w:rPr>
          <w:rFonts w:ascii="Times New Roman" w:hAnsi="Times New Roman" w:cs="Times New Roman"/>
          <w:b/>
          <w:sz w:val="24"/>
          <w:szCs w:val="24"/>
        </w:rPr>
        <w:t xml:space="preserve">: </w:t>
      </w:r>
      <w:r w:rsidRPr="00DA7B15">
        <w:rPr>
          <w:rFonts w:ascii="Times New Roman" w:hAnsi="Times New Roman" w:cs="Times New Roman"/>
          <w:sz w:val="24"/>
          <w:szCs w:val="24"/>
        </w:rPr>
        <w:t>İnterstisyel nefrit, nefrotik sendrom ve böbrek yetmezliği gibi çeşitli biçimlerde nefrotoksisite.</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proofErr w:type="gramStart"/>
      <w:r w:rsidRPr="00DA7B15">
        <w:rPr>
          <w:rFonts w:ascii="Times New Roman" w:hAnsi="Times New Roman" w:cs="Times New Roman"/>
          <w:b/>
          <w:sz w:val="24"/>
          <w:szCs w:val="24"/>
        </w:rPr>
        <w:t>Karaciğer</w:t>
      </w:r>
      <w:r w:rsidR="00941285" w:rsidRPr="00DA7B15">
        <w:rPr>
          <w:rFonts w:ascii="Times New Roman" w:hAnsi="Times New Roman" w:cs="Times New Roman"/>
          <w:b/>
          <w:sz w:val="24"/>
          <w:szCs w:val="24"/>
        </w:rPr>
        <w:t xml:space="preserve">: </w:t>
      </w:r>
      <w:r w:rsidRPr="00DA7B15">
        <w:rPr>
          <w:rFonts w:ascii="Times New Roman" w:hAnsi="Times New Roman" w:cs="Times New Roman"/>
          <w:sz w:val="24"/>
          <w:szCs w:val="24"/>
        </w:rPr>
        <w:t>Anormal karaciğer fonksiyonu, hepatit ve sarılık.</w:t>
      </w:r>
      <w:proofErr w:type="gramEnd"/>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b/>
          <w:sz w:val="24"/>
          <w:szCs w:val="24"/>
        </w:rPr>
        <w:t>Nöroloji ve duyu organları</w:t>
      </w:r>
      <w:r w:rsidR="00941285" w:rsidRPr="00DA7B15">
        <w:rPr>
          <w:rFonts w:ascii="Times New Roman" w:hAnsi="Times New Roman" w:cs="Times New Roman"/>
          <w:b/>
          <w:sz w:val="24"/>
          <w:szCs w:val="24"/>
        </w:rPr>
        <w:t xml:space="preserve">: </w:t>
      </w:r>
      <w:r w:rsidRPr="00DA7B15">
        <w:rPr>
          <w:rFonts w:ascii="Times New Roman" w:hAnsi="Times New Roman" w:cs="Times New Roman"/>
          <w:sz w:val="24"/>
          <w:szCs w:val="24"/>
        </w:rPr>
        <w:t>Görme bozuklukları, optik nörit, baş ağrıları, parestezi, aseptik menenjit semptomları (özellikle, sistemik lupus eritematozus, karışık bağ dokusu hastalığı gibi mevcut otoimmun bozuklukları olan hastalarda), ense sertliği, baş ağrısı, bulantı, kusma, ateş ya da dezoryantasyon (</w:t>
      </w:r>
      <w:r w:rsidR="00941285" w:rsidRPr="00DA7B15">
        <w:rPr>
          <w:rFonts w:ascii="Times New Roman" w:hAnsi="Times New Roman" w:cs="Times New Roman"/>
          <w:sz w:val="24"/>
          <w:szCs w:val="24"/>
        </w:rPr>
        <w:t>bkz. B</w:t>
      </w:r>
      <w:r w:rsidRPr="00DA7B15">
        <w:rPr>
          <w:rFonts w:ascii="Times New Roman" w:hAnsi="Times New Roman" w:cs="Times New Roman"/>
          <w:sz w:val="24"/>
          <w:szCs w:val="24"/>
        </w:rPr>
        <w:t xml:space="preserve">ölüm </w:t>
      </w:r>
      <w:proofErr w:type="gramStart"/>
      <w:r w:rsidRPr="00DA7B15">
        <w:rPr>
          <w:rFonts w:ascii="Times New Roman" w:hAnsi="Times New Roman" w:cs="Times New Roman"/>
          <w:sz w:val="24"/>
          <w:szCs w:val="24"/>
        </w:rPr>
        <w:t>4.4</w:t>
      </w:r>
      <w:proofErr w:type="gramEnd"/>
      <w:r w:rsidRPr="00DA7B15">
        <w:rPr>
          <w:rFonts w:ascii="Times New Roman" w:hAnsi="Times New Roman" w:cs="Times New Roman"/>
          <w:sz w:val="24"/>
          <w:szCs w:val="24"/>
        </w:rPr>
        <w:t>), depresyon, konfüzyon, halüsinasyonlar, tinnitus, vertigo, sersemlik, kırgınlık, halsizlik ve baş dönmesi.</w:t>
      </w:r>
    </w:p>
    <w:p w:rsidR="0050060D" w:rsidRPr="00DA7B15" w:rsidRDefault="0050060D" w:rsidP="006F502B">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b/>
          <w:sz w:val="24"/>
          <w:szCs w:val="24"/>
        </w:rPr>
        <w:t>Hematolojik olaylar</w:t>
      </w:r>
      <w:r w:rsidR="00941285" w:rsidRPr="00DA7B15">
        <w:rPr>
          <w:rFonts w:ascii="Times New Roman" w:hAnsi="Times New Roman" w:cs="Times New Roman"/>
          <w:b/>
          <w:sz w:val="24"/>
          <w:szCs w:val="24"/>
        </w:rPr>
        <w:t xml:space="preserve">: </w:t>
      </w:r>
      <w:r w:rsidRPr="00DA7B15">
        <w:rPr>
          <w:rFonts w:ascii="Times New Roman" w:hAnsi="Times New Roman" w:cs="Times New Roman"/>
          <w:sz w:val="24"/>
          <w:szCs w:val="24"/>
        </w:rPr>
        <w:t>Trombositopeni, nötropeni, agranülositoz, aplastik anemi ve hemolitik anemi.</w:t>
      </w:r>
    </w:p>
    <w:p w:rsidR="007E64BB" w:rsidRDefault="00100C7A" w:rsidP="006F502B">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b/>
          <w:sz w:val="24"/>
          <w:szCs w:val="24"/>
        </w:rPr>
        <w:t>Dermatol</w:t>
      </w:r>
      <w:r w:rsidR="0050060D" w:rsidRPr="00DA7B15">
        <w:rPr>
          <w:rFonts w:ascii="Times New Roman" w:hAnsi="Times New Roman" w:cs="Times New Roman"/>
          <w:b/>
          <w:sz w:val="24"/>
          <w:szCs w:val="24"/>
        </w:rPr>
        <w:t>ojik olaylar</w:t>
      </w:r>
      <w:r w:rsidR="00941285" w:rsidRPr="00DA7B15">
        <w:rPr>
          <w:rFonts w:ascii="Times New Roman" w:hAnsi="Times New Roman" w:cs="Times New Roman"/>
          <w:b/>
          <w:sz w:val="24"/>
          <w:szCs w:val="24"/>
        </w:rPr>
        <w:t xml:space="preserve">: </w:t>
      </w:r>
      <w:r w:rsidR="0050060D" w:rsidRPr="00DA7B15">
        <w:rPr>
          <w:rFonts w:ascii="Times New Roman" w:hAnsi="Times New Roman" w:cs="Times New Roman"/>
          <w:sz w:val="24"/>
          <w:szCs w:val="24"/>
        </w:rPr>
        <w:t xml:space="preserve">Steven Johnson Sendromu ve Toksik Epidermal Nekroliz dahil bülloz reaksiyonlar (çok nadir). </w:t>
      </w:r>
      <w:proofErr w:type="spellStart"/>
      <w:r w:rsidR="0050060D" w:rsidRPr="00DA7B15">
        <w:rPr>
          <w:rFonts w:ascii="Times New Roman" w:hAnsi="Times New Roman" w:cs="Times New Roman"/>
          <w:sz w:val="24"/>
          <w:szCs w:val="24"/>
        </w:rPr>
        <w:t>Fotosensivite</w:t>
      </w:r>
      <w:proofErr w:type="spellEnd"/>
      <w:r w:rsidR="0050060D" w:rsidRPr="00DA7B15">
        <w:rPr>
          <w:rFonts w:ascii="Times New Roman" w:hAnsi="Times New Roman" w:cs="Times New Roman"/>
          <w:sz w:val="24"/>
          <w:szCs w:val="24"/>
        </w:rPr>
        <w:t>.</w:t>
      </w:r>
    </w:p>
    <w:p w:rsidR="006F502B" w:rsidRPr="0066431E" w:rsidRDefault="006F502B" w:rsidP="006F502B">
      <w:pPr>
        <w:tabs>
          <w:tab w:val="left" w:pos="142"/>
          <w:tab w:val="left" w:pos="284"/>
          <w:tab w:val="left" w:pos="426"/>
        </w:tabs>
        <w:spacing w:line="360" w:lineRule="auto"/>
        <w:ind w:left="142"/>
        <w:jc w:val="both"/>
        <w:rPr>
          <w:rFonts w:ascii="Times New Roman" w:hAnsi="Times New Roman"/>
          <w:sz w:val="24"/>
          <w:szCs w:val="24"/>
          <w:u w:val="single"/>
          <w:lang w:eastAsia="nl-NL"/>
        </w:rPr>
      </w:pPr>
      <w:r w:rsidRPr="0066431E">
        <w:rPr>
          <w:rFonts w:ascii="Times New Roman" w:hAnsi="Times New Roman" w:hint="eastAsia"/>
          <w:sz w:val="24"/>
          <w:szCs w:val="24"/>
          <w:u w:val="single"/>
          <w:lang w:eastAsia="nl-NL"/>
        </w:rPr>
        <w:t>Ş</w:t>
      </w:r>
      <w:r w:rsidRPr="0066431E">
        <w:rPr>
          <w:rFonts w:ascii="Times New Roman" w:hAnsi="Times New Roman"/>
          <w:sz w:val="24"/>
          <w:szCs w:val="24"/>
          <w:u w:val="single"/>
          <w:lang w:eastAsia="nl-NL"/>
        </w:rPr>
        <w:t xml:space="preserve">üpheli </w:t>
      </w:r>
      <w:proofErr w:type="spellStart"/>
      <w:r w:rsidRPr="0066431E">
        <w:rPr>
          <w:rFonts w:ascii="Times New Roman" w:hAnsi="Times New Roman"/>
          <w:sz w:val="24"/>
          <w:szCs w:val="24"/>
          <w:u w:val="single"/>
          <w:lang w:eastAsia="nl-NL"/>
        </w:rPr>
        <w:t>advers</w:t>
      </w:r>
      <w:proofErr w:type="spellEnd"/>
      <w:r w:rsidRPr="0066431E">
        <w:rPr>
          <w:rFonts w:ascii="Times New Roman" w:hAnsi="Times New Roman"/>
          <w:sz w:val="24"/>
          <w:szCs w:val="24"/>
          <w:u w:val="single"/>
          <w:lang w:eastAsia="nl-NL"/>
        </w:rPr>
        <w:t xml:space="preserve"> reaksiyonlar</w:t>
      </w:r>
      <w:r w:rsidRPr="0066431E">
        <w:rPr>
          <w:rFonts w:ascii="Times New Roman" w:hAnsi="Times New Roman" w:hint="eastAsia"/>
          <w:sz w:val="24"/>
          <w:szCs w:val="24"/>
          <w:u w:val="single"/>
          <w:lang w:eastAsia="nl-NL"/>
        </w:rPr>
        <w:t>ı</w:t>
      </w:r>
      <w:r w:rsidRPr="0066431E">
        <w:rPr>
          <w:rFonts w:ascii="Times New Roman" w:hAnsi="Times New Roman"/>
          <w:sz w:val="24"/>
          <w:szCs w:val="24"/>
          <w:u w:val="single"/>
          <w:lang w:eastAsia="nl-NL"/>
        </w:rPr>
        <w:t>n raporlanmas</w:t>
      </w:r>
      <w:r w:rsidRPr="0066431E">
        <w:rPr>
          <w:rFonts w:ascii="Times New Roman" w:hAnsi="Times New Roman" w:hint="eastAsia"/>
          <w:sz w:val="24"/>
          <w:szCs w:val="24"/>
          <w:u w:val="single"/>
          <w:lang w:eastAsia="nl-NL"/>
        </w:rPr>
        <w:t>ı</w:t>
      </w:r>
    </w:p>
    <w:p w:rsidR="006F502B" w:rsidRPr="0066431E" w:rsidRDefault="006F502B" w:rsidP="006F502B">
      <w:pPr>
        <w:tabs>
          <w:tab w:val="left" w:pos="142"/>
          <w:tab w:val="left" w:pos="284"/>
          <w:tab w:val="left" w:pos="426"/>
        </w:tabs>
        <w:spacing w:line="360" w:lineRule="auto"/>
        <w:ind w:left="142"/>
        <w:jc w:val="both"/>
        <w:rPr>
          <w:rFonts w:ascii="Times New Roman" w:hAnsi="Times New Roman"/>
          <w:sz w:val="24"/>
          <w:szCs w:val="24"/>
          <w:lang w:eastAsia="nl-NL"/>
        </w:rPr>
      </w:pPr>
      <w:r w:rsidRPr="0066431E">
        <w:rPr>
          <w:rFonts w:ascii="Times New Roman" w:hAnsi="Times New Roman"/>
          <w:sz w:val="24"/>
          <w:szCs w:val="24"/>
          <w:lang w:eastAsia="nl-NL"/>
        </w:rPr>
        <w:t>Ruhsatland</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rma sonras</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 xml:space="preserve"> </w:t>
      </w:r>
      <w:r w:rsidRPr="0066431E">
        <w:rPr>
          <w:rFonts w:ascii="Times New Roman" w:hAnsi="Times New Roman" w:hint="eastAsia"/>
          <w:sz w:val="24"/>
          <w:szCs w:val="24"/>
          <w:lang w:eastAsia="nl-NL"/>
        </w:rPr>
        <w:t>ş</w:t>
      </w:r>
      <w:r w:rsidRPr="0066431E">
        <w:rPr>
          <w:rFonts w:ascii="Times New Roman" w:hAnsi="Times New Roman"/>
          <w:sz w:val="24"/>
          <w:szCs w:val="24"/>
          <w:lang w:eastAsia="nl-NL"/>
        </w:rPr>
        <w:t xml:space="preserve">üpheli ilaç </w:t>
      </w:r>
      <w:proofErr w:type="spellStart"/>
      <w:r w:rsidRPr="0066431E">
        <w:rPr>
          <w:rFonts w:ascii="Times New Roman" w:hAnsi="Times New Roman"/>
          <w:sz w:val="24"/>
          <w:szCs w:val="24"/>
          <w:lang w:eastAsia="nl-NL"/>
        </w:rPr>
        <w:t>advers</w:t>
      </w:r>
      <w:proofErr w:type="spellEnd"/>
      <w:r w:rsidRPr="0066431E">
        <w:rPr>
          <w:rFonts w:ascii="Times New Roman" w:hAnsi="Times New Roman"/>
          <w:sz w:val="24"/>
          <w:szCs w:val="24"/>
          <w:lang w:eastAsia="nl-NL"/>
        </w:rPr>
        <w:t xml:space="preserve"> reaksiyonlar</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n</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n raporlanmas</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 xml:space="preserve"> büyük önem ta</w:t>
      </w:r>
      <w:r w:rsidRPr="0066431E">
        <w:rPr>
          <w:rFonts w:ascii="Times New Roman" w:hAnsi="Times New Roman" w:hint="eastAsia"/>
          <w:sz w:val="24"/>
          <w:szCs w:val="24"/>
          <w:lang w:eastAsia="nl-NL"/>
        </w:rPr>
        <w:t>şı</w:t>
      </w:r>
      <w:r w:rsidRPr="0066431E">
        <w:rPr>
          <w:rFonts w:ascii="Times New Roman" w:hAnsi="Times New Roman"/>
          <w:sz w:val="24"/>
          <w:szCs w:val="24"/>
          <w:lang w:eastAsia="nl-NL"/>
        </w:rPr>
        <w:t>maktad</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r. Raporlama yap</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lmas</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 ilac</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n yarar/risk dengesinin sürekli olarak izlenmesine olanak sa</w:t>
      </w:r>
      <w:r w:rsidRPr="0066431E">
        <w:rPr>
          <w:rFonts w:ascii="Times New Roman" w:hAnsi="Times New Roman" w:hint="eastAsia"/>
          <w:sz w:val="24"/>
          <w:szCs w:val="24"/>
          <w:lang w:eastAsia="nl-NL"/>
        </w:rPr>
        <w:t>ğ</w:t>
      </w:r>
      <w:r w:rsidRPr="0066431E">
        <w:rPr>
          <w:rFonts w:ascii="Times New Roman" w:hAnsi="Times New Roman"/>
          <w:sz w:val="24"/>
          <w:szCs w:val="24"/>
          <w:lang w:eastAsia="nl-NL"/>
        </w:rPr>
        <w:t>lar. Sa</w:t>
      </w:r>
      <w:r w:rsidRPr="0066431E">
        <w:rPr>
          <w:rFonts w:ascii="Times New Roman" w:hAnsi="Times New Roman" w:hint="eastAsia"/>
          <w:sz w:val="24"/>
          <w:szCs w:val="24"/>
          <w:lang w:eastAsia="nl-NL"/>
        </w:rPr>
        <w:t>ğ</w:t>
      </w:r>
      <w:r w:rsidRPr="0066431E">
        <w:rPr>
          <w:rFonts w:ascii="Times New Roman" w:hAnsi="Times New Roman"/>
          <w:sz w:val="24"/>
          <w:szCs w:val="24"/>
          <w:lang w:eastAsia="nl-NL"/>
        </w:rPr>
        <w:t>l</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k mesle</w:t>
      </w:r>
      <w:r w:rsidRPr="0066431E">
        <w:rPr>
          <w:rFonts w:ascii="Times New Roman" w:hAnsi="Times New Roman" w:hint="eastAsia"/>
          <w:sz w:val="24"/>
          <w:szCs w:val="24"/>
          <w:lang w:eastAsia="nl-NL"/>
        </w:rPr>
        <w:t>ğ</w:t>
      </w:r>
      <w:r w:rsidRPr="0066431E">
        <w:rPr>
          <w:rFonts w:ascii="Times New Roman" w:hAnsi="Times New Roman"/>
          <w:sz w:val="24"/>
          <w:szCs w:val="24"/>
          <w:lang w:eastAsia="nl-NL"/>
        </w:rPr>
        <w:t>i mensuplar</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n</w:t>
      </w:r>
      <w:r w:rsidRPr="0066431E">
        <w:rPr>
          <w:rFonts w:ascii="Times New Roman" w:hAnsi="Times New Roman" w:hint="eastAsia"/>
          <w:sz w:val="24"/>
          <w:szCs w:val="24"/>
          <w:lang w:eastAsia="nl-NL"/>
        </w:rPr>
        <w:t>ı</w:t>
      </w:r>
      <w:r w:rsidRPr="0066431E">
        <w:rPr>
          <w:rFonts w:ascii="Times New Roman" w:hAnsi="Times New Roman"/>
          <w:sz w:val="24"/>
          <w:szCs w:val="24"/>
          <w:lang w:eastAsia="nl-NL"/>
        </w:rPr>
        <w:t xml:space="preserve">n herhangi bir </w:t>
      </w:r>
      <w:r w:rsidRPr="0066431E">
        <w:rPr>
          <w:rFonts w:ascii="Times New Roman" w:hAnsi="Times New Roman" w:hint="eastAsia"/>
          <w:sz w:val="24"/>
          <w:szCs w:val="24"/>
          <w:lang w:eastAsia="nl-NL"/>
        </w:rPr>
        <w:t>şü</w:t>
      </w:r>
      <w:r w:rsidRPr="0066431E">
        <w:rPr>
          <w:rFonts w:ascii="Times New Roman" w:hAnsi="Times New Roman"/>
          <w:sz w:val="24"/>
          <w:szCs w:val="24"/>
          <w:lang w:eastAsia="nl-NL"/>
        </w:rPr>
        <w:t xml:space="preserve">pheli </w:t>
      </w:r>
      <w:proofErr w:type="spellStart"/>
      <w:r w:rsidRPr="0066431E">
        <w:rPr>
          <w:rFonts w:ascii="Times New Roman" w:hAnsi="Times New Roman"/>
          <w:sz w:val="24"/>
          <w:szCs w:val="24"/>
          <w:lang w:eastAsia="nl-NL"/>
        </w:rPr>
        <w:t>advers</w:t>
      </w:r>
      <w:proofErr w:type="spellEnd"/>
      <w:r w:rsidRPr="0066431E">
        <w:rPr>
          <w:rFonts w:ascii="Times New Roman" w:hAnsi="Times New Roman"/>
          <w:sz w:val="24"/>
          <w:szCs w:val="24"/>
          <w:lang w:eastAsia="nl-NL"/>
        </w:rPr>
        <w:t xml:space="preserve"> reaksiyonu Türkiye </w:t>
      </w:r>
      <w:proofErr w:type="spellStart"/>
      <w:r w:rsidRPr="0066431E">
        <w:rPr>
          <w:rFonts w:ascii="Times New Roman" w:hAnsi="Times New Roman"/>
          <w:sz w:val="24"/>
          <w:szCs w:val="24"/>
          <w:lang w:eastAsia="nl-NL"/>
        </w:rPr>
        <w:t>Farmakovijilans</w:t>
      </w:r>
      <w:proofErr w:type="spellEnd"/>
      <w:r w:rsidRPr="0066431E">
        <w:rPr>
          <w:rFonts w:ascii="Times New Roman" w:hAnsi="Times New Roman"/>
          <w:sz w:val="24"/>
          <w:szCs w:val="24"/>
          <w:lang w:eastAsia="nl-NL"/>
        </w:rPr>
        <w:t xml:space="preserve"> Merkezi (TÜFAM)'ne bildirmeleri gerekmektedir. (</w:t>
      </w:r>
      <w:r w:rsidRPr="0066431E">
        <w:rPr>
          <w:rFonts w:ascii="Times New Roman" w:hAnsi="Times New Roman"/>
          <w:sz w:val="24"/>
          <w:szCs w:val="24"/>
          <w:u w:val="single"/>
          <w:lang w:eastAsia="nl-NL"/>
        </w:rPr>
        <w:t>www.</w:t>
      </w:r>
      <w:proofErr w:type="spellStart"/>
      <w:r w:rsidRPr="0066431E">
        <w:rPr>
          <w:rFonts w:ascii="Times New Roman" w:hAnsi="Times New Roman"/>
          <w:sz w:val="24"/>
          <w:szCs w:val="24"/>
          <w:u w:val="single"/>
          <w:lang w:eastAsia="nl-NL"/>
        </w:rPr>
        <w:t>titck</w:t>
      </w:r>
      <w:proofErr w:type="spellEnd"/>
      <w:r w:rsidRPr="0066431E">
        <w:rPr>
          <w:rFonts w:ascii="Times New Roman" w:hAnsi="Times New Roman"/>
          <w:sz w:val="24"/>
          <w:szCs w:val="24"/>
          <w:u w:val="single"/>
          <w:lang w:eastAsia="nl-NL"/>
        </w:rPr>
        <w:t>.gov.tr</w:t>
      </w:r>
      <w:r w:rsidRPr="0066431E">
        <w:rPr>
          <w:rFonts w:ascii="Times New Roman" w:hAnsi="Times New Roman"/>
          <w:sz w:val="24"/>
          <w:szCs w:val="24"/>
          <w:lang w:eastAsia="nl-NL"/>
        </w:rPr>
        <w:t xml:space="preserve">;          e-posta: </w:t>
      </w:r>
      <w:proofErr w:type="spellStart"/>
      <w:r w:rsidRPr="0066431E">
        <w:rPr>
          <w:rFonts w:ascii="Times New Roman" w:hAnsi="Times New Roman"/>
          <w:sz w:val="24"/>
          <w:szCs w:val="24"/>
          <w:u w:val="single"/>
          <w:lang w:eastAsia="nl-NL"/>
        </w:rPr>
        <w:t>tufam</w:t>
      </w:r>
      <w:proofErr w:type="spellEnd"/>
      <w:r w:rsidRPr="0066431E">
        <w:rPr>
          <w:rFonts w:ascii="Times New Roman" w:hAnsi="Times New Roman"/>
          <w:sz w:val="24"/>
          <w:szCs w:val="24"/>
          <w:u w:val="single"/>
          <w:lang w:eastAsia="nl-NL"/>
        </w:rPr>
        <w:t>@</w:t>
      </w:r>
      <w:proofErr w:type="spellStart"/>
      <w:r w:rsidRPr="0066431E">
        <w:rPr>
          <w:rFonts w:ascii="Times New Roman" w:hAnsi="Times New Roman"/>
          <w:sz w:val="24"/>
          <w:szCs w:val="24"/>
          <w:u w:val="single"/>
          <w:lang w:eastAsia="nl-NL"/>
        </w:rPr>
        <w:t>titck</w:t>
      </w:r>
      <w:proofErr w:type="spellEnd"/>
      <w:r w:rsidRPr="0066431E">
        <w:rPr>
          <w:rFonts w:ascii="Times New Roman" w:hAnsi="Times New Roman"/>
          <w:sz w:val="24"/>
          <w:szCs w:val="24"/>
          <w:u w:val="single"/>
          <w:lang w:eastAsia="nl-NL"/>
        </w:rPr>
        <w:t>.gov.tr</w:t>
      </w:r>
      <w:r w:rsidRPr="0066431E">
        <w:rPr>
          <w:rFonts w:ascii="Times New Roman" w:hAnsi="Times New Roman"/>
          <w:sz w:val="24"/>
          <w:szCs w:val="24"/>
          <w:lang w:eastAsia="nl-NL"/>
        </w:rPr>
        <w:t>; tel: 0 800 314 00 08; faks: 0 312 218 35 99)</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lastRenderedPageBreak/>
        <w:t>4.9. Doz aşımı ve tedavisi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trometamolun aşırı doz semptomları bilinmemektedir. NSAİİ</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lerle ilişkili olarak şunlar gözlemlenmiştir:</w:t>
      </w:r>
    </w:p>
    <w:p w:rsidR="00DA7B15" w:rsidRDefault="00DA7B15" w:rsidP="0050060D">
      <w:pPr>
        <w:shd w:val="clear" w:color="auto" w:fill="FFFFFF"/>
        <w:spacing w:line="360" w:lineRule="auto"/>
        <w:ind w:left="142"/>
        <w:jc w:val="both"/>
        <w:rPr>
          <w:rFonts w:ascii="Times New Roman" w:hAnsi="Times New Roman" w:cs="Times New Roman"/>
          <w:b/>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Semptomlar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Baş ağrısı, bulantı, kusma, epigastrik ağrı, gastrointestinal kanama, nadiren ishal, dezoryantasyon, eksitasyon, koma, baş dönmesi, sersemlik, tinnitus, baygınlık, zaman zaman konvülsiyonlar. Belirgin zehirlenme durumlarında, akut renal yetersizlik ve karaciğer hasarı olasıdır.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Terapötik önlemler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Yanlışlıkla alınması veya aşırı kullanım durumunda, derhal, hastanın klinik durumuna göre semptomatik tedavi uygulanmalıdır. Bir yetişkin ya da bir çocuk tarafından 5 mg/kg</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dan daha fazla alındığında bir saat içinde, aktif kömür uygulanması düşünülmelidir.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Alternatif olarak, yetişkinlerde, potansiyel hayati tehlike oluşturan bir aşırı doz alımı durumunda bir saat içinde gastrik lavaj düşünülmelidir. İyi idrar çıkımı sağlanmalıdır.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Renal ve karaciğer fonksiyonu yakından izlenmelidir.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Hastalar, potansiyel toksik miktarlarda alımdan sonra en az dört saat gözlenmelidir.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Sık ya da uzamış konvülsiyonlar intravenöz diazepam ile tedavi edilmelidir.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Hastanın klinik durumuna göre, başka tedbirler alınması gerekebilir.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 vücuttan diyalizle uzaklaştırılabilir.</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5. FARMAKOLOJİK ÖZELLİKLER</w:t>
      </w:r>
      <w:r w:rsidRPr="00DA7B15">
        <w:rPr>
          <w:rFonts w:ascii="Times New Roman" w:hAnsi="Times New Roman" w:cs="Times New Roman"/>
          <w:b/>
          <w:sz w:val="24"/>
          <w:szCs w:val="24"/>
        </w:rPr>
        <w:tab/>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5.1. Farmakodinamik özellikler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Farmakoterapötik grup: prop</w:t>
      </w:r>
      <w:r w:rsidR="00416EC0" w:rsidRPr="00DA7B15">
        <w:rPr>
          <w:rFonts w:ascii="Times New Roman" w:hAnsi="Times New Roman" w:cs="Times New Roman"/>
          <w:sz w:val="24"/>
          <w:szCs w:val="24"/>
        </w:rPr>
        <w:t>i</w:t>
      </w:r>
      <w:r w:rsidRPr="00DA7B15">
        <w:rPr>
          <w:rFonts w:ascii="Times New Roman" w:hAnsi="Times New Roman" w:cs="Times New Roman"/>
          <w:sz w:val="24"/>
          <w:szCs w:val="24"/>
        </w:rPr>
        <w:t>yonik asit türevleri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ATC Kodu: M01AE17</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 S-(+)-2-(3-benzoilfenil)propiyonik asidin trometamin tuzu, non-steroıd antiinflamatuvar ilaç grubuna (M01A) dahil analjezik, antiinflamatuvar ve antipiretik bir ilaçtır.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Non-steroid antiinflamatuar ilaçların etki mekanizması, siklooksijenaz yolağının inhibisyonuyla prostaglandin sentezinin azaltılmasıyla ilgilidir. Özellikle, prostaglandinler PGE</w:t>
      </w:r>
      <w:r w:rsidR="008036AE" w:rsidRPr="00DA7B15">
        <w:rPr>
          <w:rFonts w:ascii="Times New Roman" w:hAnsi="Times New Roman" w:cs="Times New Roman"/>
          <w:sz w:val="24"/>
          <w:szCs w:val="24"/>
          <w:vertAlign w:val="subscript"/>
        </w:rPr>
        <w:t>1</w:t>
      </w:r>
      <w:r w:rsidRPr="00DA7B15">
        <w:rPr>
          <w:rFonts w:ascii="Times New Roman" w:hAnsi="Times New Roman" w:cs="Times New Roman"/>
          <w:sz w:val="24"/>
          <w:szCs w:val="24"/>
        </w:rPr>
        <w:t>, PGE</w:t>
      </w:r>
      <w:r w:rsidRPr="00DA7B15">
        <w:rPr>
          <w:rFonts w:ascii="Times New Roman" w:hAnsi="Times New Roman" w:cs="Times New Roman"/>
          <w:sz w:val="24"/>
          <w:szCs w:val="24"/>
          <w:vertAlign w:val="subscript"/>
        </w:rPr>
        <w:t>2</w:t>
      </w:r>
      <w:r w:rsidRPr="00DA7B15">
        <w:rPr>
          <w:rFonts w:ascii="Times New Roman" w:hAnsi="Times New Roman" w:cs="Times New Roman"/>
          <w:sz w:val="24"/>
          <w:szCs w:val="24"/>
        </w:rPr>
        <w:t>, PGF</w:t>
      </w:r>
      <w:r w:rsidRPr="00DA7B15">
        <w:rPr>
          <w:rFonts w:ascii="Times New Roman" w:hAnsi="Times New Roman" w:cs="Times New Roman"/>
          <w:sz w:val="24"/>
          <w:szCs w:val="24"/>
          <w:vertAlign w:val="subscript"/>
        </w:rPr>
        <w:t>2</w:t>
      </w:r>
      <w:r w:rsidR="008036AE" w:rsidRPr="00DA7B15">
        <w:rPr>
          <w:rFonts w:ascii="Times New Roman" w:hAnsi="Times New Roman" w:cs="Times New Roman"/>
          <w:sz w:val="24"/>
          <w:szCs w:val="24"/>
          <w:vertAlign w:val="subscript"/>
        </w:rPr>
        <w:t>α</w:t>
      </w:r>
      <w:r w:rsidRPr="00DA7B15">
        <w:rPr>
          <w:rFonts w:ascii="Times New Roman" w:hAnsi="Times New Roman" w:cs="Times New Roman"/>
          <w:sz w:val="24"/>
          <w:szCs w:val="24"/>
        </w:rPr>
        <w:t>, ve PGD</w:t>
      </w:r>
      <w:r w:rsidRPr="00DA7B15">
        <w:rPr>
          <w:rFonts w:ascii="Times New Roman" w:hAnsi="Times New Roman" w:cs="Times New Roman"/>
          <w:sz w:val="24"/>
          <w:szCs w:val="24"/>
          <w:vertAlign w:val="subscript"/>
        </w:rPr>
        <w:t>2</w:t>
      </w:r>
      <w:r w:rsidRPr="00DA7B15">
        <w:rPr>
          <w:rFonts w:ascii="Times New Roman" w:hAnsi="Times New Roman" w:cs="Times New Roman"/>
          <w:sz w:val="24"/>
          <w:szCs w:val="24"/>
        </w:rPr>
        <w:t xml:space="preserve"> ve aynı zamanda prostasiklin PGI</w:t>
      </w:r>
      <w:r w:rsidRPr="00DA7B15">
        <w:rPr>
          <w:rFonts w:ascii="Times New Roman" w:hAnsi="Times New Roman" w:cs="Times New Roman"/>
          <w:sz w:val="24"/>
          <w:szCs w:val="24"/>
          <w:vertAlign w:val="subscript"/>
        </w:rPr>
        <w:t>2</w:t>
      </w:r>
      <w:r w:rsidRPr="00DA7B15">
        <w:rPr>
          <w:rFonts w:ascii="Times New Roman" w:hAnsi="Times New Roman" w:cs="Times New Roman"/>
          <w:sz w:val="24"/>
          <w:szCs w:val="24"/>
        </w:rPr>
        <w:t xml:space="preserve"> ve tromboksanları (TxA</w:t>
      </w:r>
      <w:r w:rsidRPr="00DA7B15">
        <w:rPr>
          <w:rFonts w:ascii="Times New Roman" w:hAnsi="Times New Roman" w:cs="Times New Roman"/>
          <w:sz w:val="24"/>
          <w:szCs w:val="24"/>
          <w:vertAlign w:val="subscript"/>
        </w:rPr>
        <w:t>2</w:t>
      </w:r>
      <w:r w:rsidRPr="00DA7B15">
        <w:rPr>
          <w:rFonts w:ascii="Times New Roman" w:hAnsi="Times New Roman" w:cs="Times New Roman"/>
          <w:sz w:val="24"/>
          <w:szCs w:val="24"/>
        </w:rPr>
        <w:t xml:space="preserve"> ve TxB</w:t>
      </w:r>
      <w:r w:rsidRPr="00DA7B15">
        <w:rPr>
          <w:rFonts w:ascii="Times New Roman" w:hAnsi="Times New Roman" w:cs="Times New Roman"/>
          <w:sz w:val="24"/>
          <w:szCs w:val="24"/>
          <w:vertAlign w:val="subscript"/>
        </w:rPr>
        <w:t>2</w:t>
      </w:r>
      <w:r w:rsidRPr="00DA7B15">
        <w:rPr>
          <w:rFonts w:ascii="Times New Roman" w:hAnsi="Times New Roman" w:cs="Times New Roman"/>
          <w:sz w:val="24"/>
          <w:szCs w:val="24"/>
        </w:rPr>
        <w:t>) oluşturan, araşidonik asitin siklik endoperoksitlere, PGG</w:t>
      </w:r>
      <w:r w:rsidRPr="00DA7B15">
        <w:rPr>
          <w:rFonts w:ascii="Times New Roman" w:hAnsi="Times New Roman" w:cs="Times New Roman"/>
          <w:sz w:val="24"/>
          <w:szCs w:val="24"/>
          <w:vertAlign w:val="subscript"/>
        </w:rPr>
        <w:t>2</w:t>
      </w:r>
      <w:r w:rsidRPr="00DA7B15">
        <w:rPr>
          <w:rFonts w:ascii="Times New Roman" w:hAnsi="Times New Roman" w:cs="Times New Roman"/>
          <w:sz w:val="24"/>
          <w:szCs w:val="24"/>
        </w:rPr>
        <w:t xml:space="preserve"> ve PGH</w:t>
      </w:r>
      <w:r w:rsidRPr="00DA7B15">
        <w:rPr>
          <w:rFonts w:ascii="Times New Roman" w:hAnsi="Times New Roman" w:cs="Times New Roman"/>
          <w:sz w:val="24"/>
          <w:szCs w:val="24"/>
          <w:vertAlign w:val="subscript"/>
        </w:rPr>
        <w:t>2</w:t>
      </w:r>
      <w:r w:rsidRPr="00DA7B15">
        <w:rPr>
          <w:rFonts w:ascii="Times New Roman" w:hAnsi="Times New Roman" w:cs="Times New Roman"/>
          <w:sz w:val="24"/>
          <w:szCs w:val="24"/>
        </w:rPr>
        <w:t xml:space="preserve">, transformasyonunun inhibisyonu söz konusudur. Ayrıca, prostaglandin sentezinin </w:t>
      </w:r>
      <w:r w:rsidRPr="00DA7B15">
        <w:rPr>
          <w:rFonts w:ascii="Times New Roman" w:hAnsi="Times New Roman" w:cs="Times New Roman"/>
          <w:sz w:val="24"/>
          <w:szCs w:val="24"/>
        </w:rPr>
        <w:lastRenderedPageBreak/>
        <w:t>inhibisyonu, kinin gibi diğer inflamasyon mediyatörlerini de etkil</w:t>
      </w:r>
      <w:r w:rsidR="008036AE" w:rsidRPr="00DA7B15">
        <w:rPr>
          <w:rFonts w:ascii="Times New Roman" w:hAnsi="Times New Roman" w:cs="Times New Roman"/>
          <w:sz w:val="24"/>
          <w:szCs w:val="24"/>
        </w:rPr>
        <w:t>eyerek, direkt etkiye ilaveten i</w:t>
      </w:r>
      <w:r w:rsidRPr="00DA7B15">
        <w:rPr>
          <w:rFonts w:ascii="Times New Roman" w:hAnsi="Times New Roman" w:cs="Times New Roman"/>
          <w:sz w:val="24"/>
          <w:szCs w:val="24"/>
        </w:rPr>
        <w:t>ndirekt bir etkiye de neden olur.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Deksketoprofenin hayvan ve insanlar üzerindeki deneylerde C</w:t>
      </w:r>
      <w:r w:rsidR="008036AE" w:rsidRPr="00DA7B15">
        <w:rPr>
          <w:rFonts w:ascii="Times New Roman" w:hAnsi="Times New Roman" w:cs="Times New Roman"/>
          <w:sz w:val="24"/>
          <w:szCs w:val="24"/>
        </w:rPr>
        <w:t>OX-1 ve CO</w:t>
      </w:r>
      <w:r w:rsidRPr="00DA7B15">
        <w:rPr>
          <w:rFonts w:ascii="Times New Roman" w:hAnsi="Times New Roman" w:cs="Times New Roman"/>
          <w:sz w:val="24"/>
          <w:szCs w:val="24"/>
        </w:rPr>
        <w:t>X-2 aktivitelerinin inhibitörü olduğu gösterilmiştir.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Çeşitli ağrı modellerinde yapılan klinik çalışmalar, deksketoprofen trometamol</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ün etkin analjezik etkisi olduğunu göstermiştir. Analjezik etki başlangıcı bazı çalışmalarda uygulamadan sonra 30 dakika içinde elde edilmiştir. Analjezik etki 4-6 saat sürmektedir.</w:t>
      </w:r>
    </w:p>
    <w:p w:rsidR="00DA7B15" w:rsidRDefault="00DA7B15" w:rsidP="0050060D">
      <w:pPr>
        <w:shd w:val="clear" w:color="auto" w:fill="FFFFFF"/>
        <w:spacing w:line="360" w:lineRule="auto"/>
        <w:ind w:left="142"/>
        <w:jc w:val="both"/>
        <w:rPr>
          <w:rFonts w:ascii="Times New Roman" w:hAnsi="Times New Roman" w:cs="Times New Roman"/>
          <w:b/>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5.2.</w:t>
      </w:r>
      <w:r w:rsidRPr="00DA7B15">
        <w:rPr>
          <w:rFonts w:ascii="Times New Roman" w:hAnsi="Times New Roman" w:cs="Times New Roman"/>
          <w:b/>
          <w:sz w:val="24"/>
          <w:szCs w:val="24"/>
        </w:rPr>
        <w:tab/>
        <w:t>Farmakokinetik özellikler</w:t>
      </w: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Genel özellikler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Emilim</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ün insanlara oral uygulanmasından 30 dakika sonra (</w:t>
      </w:r>
      <w:proofErr w:type="gramStart"/>
      <w:r w:rsidRPr="00DA7B15">
        <w:rPr>
          <w:rFonts w:ascii="Times New Roman" w:hAnsi="Times New Roman" w:cs="Times New Roman"/>
          <w:sz w:val="24"/>
          <w:szCs w:val="24"/>
        </w:rPr>
        <w:t>aralık</w:t>
      </w:r>
      <w:proofErr w:type="gramEnd"/>
      <w:r w:rsidRPr="00DA7B15">
        <w:rPr>
          <w:rFonts w:ascii="Times New Roman" w:hAnsi="Times New Roman" w:cs="Times New Roman"/>
          <w:sz w:val="24"/>
          <w:szCs w:val="24"/>
        </w:rPr>
        <w:t xml:space="preserve"> 15-60 dakika) C</w:t>
      </w:r>
      <w:r w:rsidRPr="00DA7B15">
        <w:rPr>
          <w:rFonts w:ascii="Times New Roman" w:hAnsi="Times New Roman" w:cs="Times New Roman"/>
          <w:sz w:val="24"/>
          <w:szCs w:val="24"/>
          <w:vertAlign w:val="subscript"/>
        </w:rPr>
        <w:t>max</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a ulaşır. Yiyeceklerle birlikte uygulandığında, EAA (eğri altında kalan alan) değişmemekte, buna karşın deksketoprofen trometamolün C</w:t>
      </w:r>
      <w:r w:rsidRPr="00DA7B15">
        <w:rPr>
          <w:rFonts w:ascii="Times New Roman" w:hAnsi="Times New Roman" w:cs="Times New Roman"/>
          <w:sz w:val="24"/>
          <w:szCs w:val="24"/>
          <w:vertAlign w:val="subscript"/>
        </w:rPr>
        <w:t>max</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ı düşmekte ve absorpsiyoh h</w:t>
      </w:r>
      <w:r w:rsidR="008036AE" w:rsidRPr="00DA7B15">
        <w:rPr>
          <w:rFonts w:ascii="Times New Roman" w:hAnsi="Times New Roman" w:cs="Times New Roman"/>
          <w:sz w:val="24"/>
          <w:szCs w:val="24"/>
        </w:rPr>
        <w:t>ı</w:t>
      </w:r>
      <w:r w:rsidRPr="00DA7B15">
        <w:rPr>
          <w:rFonts w:ascii="Times New Roman" w:hAnsi="Times New Roman" w:cs="Times New Roman"/>
          <w:sz w:val="24"/>
          <w:szCs w:val="24"/>
        </w:rPr>
        <w:t>zı gecikmektedir (artmış t</w:t>
      </w:r>
      <w:r w:rsidRPr="00DA7B15">
        <w:rPr>
          <w:rFonts w:ascii="Times New Roman" w:hAnsi="Times New Roman" w:cs="Times New Roman"/>
          <w:sz w:val="24"/>
          <w:szCs w:val="24"/>
          <w:vertAlign w:val="subscript"/>
        </w:rPr>
        <w:t>max</w:t>
      </w:r>
      <w:r w:rsidR="008036AE"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Dağılım</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trometamolün dağılım yarılanma-ömrü 0.35 saattir. Plazma proteinlerine yüksek bağlanma (%99) gösteren</w:t>
      </w:r>
      <w:r w:rsidR="008036AE" w:rsidRPr="00DA7B15">
        <w:rPr>
          <w:rFonts w:ascii="Times New Roman" w:hAnsi="Times New Roman" w:cs="Times New Roman"/>
          <w:sz w:val="24"/>
          <w:szCs w:val="24"/>
        </w:rPr>
        <w:t xml:space="preserve"> </w:t>
      </w:r>
      <w:r w:rsidRPr="00DA7B15">
        <w:rPr>
          <w:rFonts w:ascii="Times New Roman" w:hAnsi="Times New Roman" w:cs="Times New Roman"/>
          <w:sz w:val="24"/>
          <w:szCs w:val="24"/>
        </w:rPr>
        <w:t>diğer ilaçlarda olduğu gibi dağılım hacminin ortalama değeri 0.25 l/kg</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dan düşüktür.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Biyotransformasyon</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trometamolün uygulanmasından sonra idrarda sadece S-( + ) enantiomerin elde edilmesi, insanlarda R-(-) enantiomere dönüşüm olmadığını göstermektedir. Çok dozlu farmakokinetik çalışmalarda, son uygulamadan sonraki EAA</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nın tek doz uygulamadan sonra elde edilenden farklı olmadığının gözlenmesi, ilaç birikiminin oluşmadığına işaret etmektedir.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Eliminasyon</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trometamolün eliminasyon yarı-ömrü değeri 1.65 saattir. Deksketoprofenin başlıca eliminasyon yolu glukuronid</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konjugasyonunu izleyen renal atılımdır.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Doğrusallık/Doğrusal Olmayan Durum</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Deksketoprofen trometamol, oral dozu takiben sistemik maruziyet sırasında doza bağlı bir artış ile doğrusal farmakokinetik</w:t>
      </w:r>
      <w:r w:rsidR="007E64BB" w:rsidRPr="00DA7B15">
        <w:rPr>
          <w:rFonts w:ascii="Times New Roman" w:hAnsi="Times New Roman" w:cs="Times New Roman"/>
          <w:sz w:val="24"/>
          <w:szCs w:val="24"/>
        </w:rPr>
        <w:t xml:space="preserve"> </w:t>
      </w:r>
      <w:r w:rsidRPr="00DA7B15">
        <w:rPr>
          <w:rFonts w:ascii="Times New Roman" w:hAnsi="Times New Roman" w:cs="Times New Roman"/>
          <w:sz w:val="24"/>
          <w:szCs w:val="24"/>
        </w:rPr>
        <w:t>gösterir.</w:t>
      </w:r>
    </w:p>
    <w:p w:rsidR="006F502B" w:rsidRDefault="006F502B" w:rsidP="0050060D">
      <w:pPr>
        <w:shd w:val="clear" w:color="auto" w:fill="FFFFFF"/>
        <w:spacing w:line="360" w:lineRule="auto"/>
        <w:ind w:left="142"/>
        <w:jc w:val="both"/>
        <w:rPr>
          <w:rFonts w:ascii="Times New Roman" w:hAnsi="Times New Roman" w:cs="Times New Roman"/>
          <w:b/>
          <w:sz w:val="24"/>
          <w:szCs w:val="24"/>
        </w:rPr>
      </w:pPr>
    </w:p>
    <w:p w:rsidR="0050060D" w:rsidRPr="00DA7B15" w:rsidRDefault="007E64BB"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lastRenderedPageBreak/>
        <w:t>Hastalardaki</w:t>
      </w:r>
      <w:r w:rsidR="0050060D" w:rsidRPr="00DA7B15">
        <w:rPr>
          <w:rFonts w:ascii="Times New Roman" w:hAnsi="Times New Roman" w:cs="Times New Roman"/>
          <w:b/>
          <w:sz w:val="24"/>
          <w:szCs w:val="24"/>
        </w:rPr>
        <w:t xml:space="preserve"> karakteristik özellikler</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Yaşlılar</w:t>
      </w:r>
      <w:r w:rsidR="00416EC0" w:rsidRPr="00DA7B15">
        <w:rPr>
          <w:rFonts w:ascii="Times New Roman" w:hAnsi="Times New Roman" w:cs="Times New Roman"/>
          <w:sz w:val="24"/>
          <w:szCs w:val="24"/>
          <w:u w:val="single"/>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25 mg deksketoprofen trometamolün oral yolla verilmesinin ardından, genç gönüllülerle karşılaştırıldığında, yaşlı gönüllülerin EAA ve yarı ömür değerlerinde yaklaşık %50</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lik bir artış görülmüştür ve tek veya tekrar eden dozlardan sonra, klirenste %40</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lık bir düşüş görülmüştür; T</w:t>
      </w:r>
      <w:r w:rsidRPr="00DA7B15">
        <w:rPr>
          <w:rFonts w:ascii="Times New Roman" w:hAnsi="Times New Roman" w:cs="Times New Roman"/>
          <w:sz w:val="24"/>
          <w:szCs w:val="24"/>
          <w:vertAlign w:val="subscript"/>
        </w:rPr>
        <w:t>maks</w:t>
      </w:r>
      <w:r w:rsidRPr="00DA7B15">
        <w:rPr>
          <w:rFonts w:ascii="Times New Roman" w:hAnsi="Times New Roman" w:cs="Times New Roman"/>
          <w:sz w:val="24"/>
          <w:szCs w:val="24"/>
        </w:rPr>
        <w:t xml:space="preserve"> ve C</w:t>
      </w:r>
      <w:r w:rsidRPr="00DA7B15">
        <w:rPr>
          <w:rFonts w:ascii="Times New Roman" w:hAnsi="Times New Roman" w:cs="Times New Roman"/>
          <w:sz w:val="24"/>
          <w:szCs w:val="24"/>
          <w:vertAlign w:val="subscript"/>
        </w:rPr>
        <w:t>maks</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 xml:space="preserve">da bir değişim meydana gelmemiştir. Tekrar eden dozları takiben plazmada önemli oranda ilaç birikimi gözlenmese de yaşlı hastalardaki böbrek yetersizliğinde, bu </w:t>
      </w:r>
      <w:proofErr w:type="gramStart"/>
      <w:r w:rsidRPr="00DA7B15">
        <w:rPr>
          <w:rFonts w:ascii="Times New Roman" w:hAnsi="Times New Roman" w:cs="Times New Roman"/>
          <w:sz w:val="24"/>
          <w:szCs w:val="24"/>
        </w:rPr>
        <w:t>popülasyon</w:t>
      </w:r>
      <w:proofErr w:type="gramEnd"/>
      <w:r w:rsidRPr="00DA7B15">
        <w:rPr>
          <w:rFonts w:ascii="Times New Roman" w:hAnsi="Times New Roman" w:cs="Times New Roman"/>
          <w:sz w:val="24"/>
          <w:szCs w:val="24"/>
        </w:rPr>
        <w:t xml:space="preserve"> için dikkatli bir doz ayarlaması gerekmektedir (bkz. Bölüm 4.2).</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Böbrek yetmezliği</w:t>
      </w:r>
      <w:r w:rsidR="00416EC0" w:rsidRPr="00DA7B15">
        <w:rPr>
          <w:rFonts w:ascii="Times New Roman" w:hAnsi="Times New Roman" w:cs="Times New Roman"/>
          <w:sz w:val="24"/>
          <w:szCs w:val="24"/>
          <w:u w:val="single"/>
        </w:rPr>
        <w:t>:</w:t>
      </w:r>
    </w:p>
    <w:p w:rsidR="0050060D" w:rsidRPr="00DA7B15" w:rsidRDefault="008036AE"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Hafi</w:t>
      </w:r>
      <w:r w:rsidR="0050060D" w:rsidRPr="00DA7B15">
        <w:rPr>
          <w:rFonts w:ascii="Times New Roman" w:hAnsi="Times New Roman" w:cs="Times New Roman"/>
          <w:sz w:val="24"/>
          <w:szCs w:val="24"/>
        </w:rPr>
        <w:t xml:space="preserve">f-orta şiddette böbrek bozukluğu olan gönüllülerde, </w:t>
      </w:r>
      <w:proofErr w:type="gramStart"/>
      <w:r w:rsidR="0050060D" w:rsidRPr="00DA7B15">
        <w:rPr>
          <w:rFonts w:ascii="Times New Roman" w:hAnsi="Times New Roman" w:cs="Times New Roman"/>
          <w:sz w:val="24"/>
          <w:szCs w:val="24"/>
        </w:rPr>
        <w:t>12.5</w:t>
      </w:r>
      <w:proofErr w:type="gramEnd"/>
      <w:r w:rsidR="0050060D" w:rsidRPr="00DA7B15">
        <w:rPr>
          <w:rFonts w:ascii="Times New Roman" w:hAnsi="Times New Roman" w:cs="Times New Roman"/>
          <w:sz w:val="24"/>
          <w:szCs w:val="24"/>
        </w:rPr>
        <w:t xml:space="preserve"> mg deksketoprofen trometamolün tek dozunun alınmasının ardından, sağlıklı gönüllülerle karşılaştırıldığında sadece Cmaks</w:t>
      </w:r>
      <w:r w:rsidR="00791F66" w:rsidRPr="00DA7B15">
        <w:rPr>
          <w:rFonts w:ascii="Times New Roman" w:hAnsi="Times New Roman" w:cs="Times New Roman"/>
          <w:sz w:val="24"/>
          <w:szCs w:val="24"/>
        </w:rPr>
        <w:t>’</w:t>
      </w:r>
      <w:r w:rsidR="0050060D" w:rsidRPr="00DA7B15">
        <w:rPr>
          <w:rFonts w:ascii="Times New Roman" w:hAnsi="Times New Roman" w:cs="Times New Roman"/>
          <w:sz w:val="24"/>
          <w:szCs w:val="24"/>
        </w:rPr>
        <w:t xml:space="preserve">da sırasıyla %22 ve %37 oranında artışlar gözlenmiştir. Genel olarak, böbrek yetersizliği olan hastalarda deksketoprofen için doz ayarlaması önerilmektedir (bkz. Bölüm </w:t>
      </w:r>
      <w:proofErr w:type="gramStart"/>
      <w:r w:rsidR="0050060D" w:rsidRPr="00DA7B15">
        <w:rPr>
          <w:rFonts w:ascii="Times New Roman" w:hAnsi="Times New Roman" w:cs="Times New Roman"/>
          <w:sz w:val="24"/>
          <w:szCs w:val="24"/>
        </w:rPr>
        <w:t>4.2</w:t>
      </w:r>
      <w:proofErr w:type="gramEnd"/>
      <w:r w:rsidR="0050060D" w:rsidRPr="00DA7B15">
        <w:rPr>
          <w:rFonts w:ascii="Times New Roman" w:hAnsi="Times New Roman" w:cs="Times New Roman"/>
          <w:sz w:val="24"/>
          <w:szCs w:val="24"/>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u w:val="single"/>
        </w:rPr>
      </w:pPr>
      <w:r w:rsidRPr="00DA7B15">
        <w:rPr>
          <w:rFonts w:ascii="Times New Roman" w:hAnsi="Times New Roman" w:cs="Times New Roman"/>
          <w:sz w:val="24"/>
          <w:szCs w:val="24"/>
          <w:u w:val="single"/>
        </w:rPr>
        <w:t>Karaciğer yetmezliği</w:t>
      </w:r>
      <w:r w:rsidR="00416EC0" w:rsidRPr="00DA7B15">
        <w:rPr>
          <w:rFonts w:ascii="Times New Roman" w:hAnsi="Times New Roman" w:cs="Times New Roman"/>
          <w:sz w:val="24"/>
          <w:szCs w:val="24"/>
          <w:u w:val="single"/>
        </w:rPr>
        <w:t>:</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Hafif-orta şiddette karaciğer yetersizliği olan hastalarda tek ve tekrar eden dozların alımını takiben, sağlıklı gönüllülerle karşılaştırıldığında farmakokinetik parametrelerde istatistiksel olarak anlamlı farklılıklar gözlenmemiştir. Genel olarak, karaciğer yetersizliği olan </w:t>
      </w:r>
      <w:proofErr w:type="gramStart"/>
      <w:r w:rsidRPr="00DA7B15">
        <w:rPr>
          <w:rFonts w:ascii="Times New Roman" w:hAnsi="Times New Roman" w:cs="Times New Roman"/>
          <w:sz w:val="24"/>
          <w:szCs w:val="24"/>
        </w:rPr>
        <w:t>hastalarda</w:t>
      </w:r>
      <w:proofErr w:type="gramEnd"/>
      <w:r w:rsidRPr="00DA7B15">
        <w:rPr>
          <w:rFonts w:ascii="Times New Roman" w:hAnsi="Times New Roman" w:cs="Times New Roman"/>
          <w:sz w:val="24"/>
          <w:szCs w:val="24"/>
        </w:rPr>
        <w:t xml:space="preserve"> doz ayarlaması önerilmektedir (bkz. Bölüm 4.2).</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50060D" w:rsidRPr="00DA7B15" w:rsidRDefault="0050060D" w:rsidP="0050060D">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5.3.</w:t>
      </w:r>
      <w:r w:rsidRPr="00DA7B15">
        <w:rPr>
          <w:rFonts w:ascii="Times New Roman" w:hAnsi="Times New Roman" w:cs="Times New Roman"/>
          <w:b/>
          <w:sz w:val="24"/>
          <w:szCs w:val="24"/>
        </w:rPr>
        <w:tab/>
        <w:t>Klinik öncesi güvenlilik verileri</w:t>
      </w:r>
    </w:p>
    <w:p w:rsidR="0050060D" w:rsidRPr="00DA7B15" w:rsidRDefault="0050060D" w:rsidP="0050060D">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Preklinik veriler, güvenlilik farmakolojisi, tekrarlanan doz toksisitesi, genotoksısite, üreme toksisıtesi ve immunofarmakolojinin klasik çalışmalarına dayanarak insanlar için özel bir tehlike göstermemiştir. Fareler ve maymunlar üzerinde yürütülen kronik toksisite çalışmalarında, Advers Etki Gözlemlenmemiş Düzey </w:t>
      </w:r>
      <w:proofErr w:type="gramStart"/>
      <w:r w:rsidRPr="00DA7B15">
        <w:rPr>
          <w:rFonts w:ascii="Times New Roman" w:hAnsi="Times New Roman" w:cs="Times New Roman"/>
          <w:sz w:val="24"/>
          <w:szCs w:val="24"/>
        </w:rPr>
        <w:t>(</w:t>
      </w:r>
      <w:proofErr w:type="gramEnd"/>
      <w:r w:rsidRPr="00DA7B15">
        <w:rPr>
          <w:rFonts w:ascii="Times New Roman" w:hAnsi="Times New Roman" w:cs="Times New Roman"/>
          <w:sz w:val="24"/>
          <w:szCs w:val="24"/>
        </w:rPr>
        <w:t>No Observed Adverse Effect Level (NOAEL) 3 mg/kg/gün olarak tesbit edilmiştir. Yüksek dozlarda gözlenen başlıca istenmeyen etki doz-bağımlı olarak gelişen gastrointestinal erozyonlar ve ülserlerdir.</w:t>
      </w:r>
    </w:p>
    <w:p w:rsidR="007E64BB" w:rsidRPr="00DA7B15" w:rsidRDefault="007E64BB" w:rsidP="0050060D">
      <w:pPr>
        <w:shd w:val="clear" w:color="auto" w:fill="FFFFFF"/>
        <w:spacing w:line="360" w:lineRule="auto"/>
        <w:ind w:left="142"/>
        <w:jc w:val="both"/>
        <w:rPr>
          <w:rFonts w:ascii="Times New Roman" w:hAnsi="Times New Roman" w:cs="Times New Roman"/>
          <w:sz w:val="24"/>
          <w:szCs w:val="24"/>
        </w:rPr>
      </w:pPr>
    </w:p>
    <w:p w:rsidR="002655E0" w:rsidRPr="00DA7B15" w:rsidRDefault="00815B06"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6.</w:t>
      </w:r>
      <w:r w:rsidRPr="00DA7B15">
        <w:rPr>
          <w:rFonts w:ascii="Times New Roman" w:hAnsi="Times New Roman" w:cs="Times New Roman"/>
          <w:b/>
          <w:sz w:val="24"/>
          <w:szCs w:val="24"/>
        </w:rPr>
        <w:tab/>
      </w:r>
      <w:r w:rsidR="00337802" w:rsidRPr="00DA7B15">
        <w:rPr>
          <w:rFonts w:ascii="Times New Roman" w:hAnsi="Times New Roman" w:cs="Times New Roman"/>
          <w:b/>
          <w:sz w:val="24"/>
          <w:szCs w:val="24"/>
        </w:rPr>
        <w:t>FARMASÖTİK ÖZELLİKLER</w:t>
      </w:r>
    </w:p>
    <w:p w:rsidR="00337802" w:rsidRPr="00DA7B15" w:rsidRDefault="00815B06"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6.1.</w:t>
      </w:r>
      <w:r w:rsidRPr="00DA7B15">
        <w:rPr>
          <w:rFonts w:ascii="Times New Roman" w:hAnsi="Times New Roman" w:cs="Times New Roman"/>
          <w:b/>
          <w:sz w:val="24"/>
          <w:szCs w:val="24"/>
        </w:rPr>
        <w:tab/>
      </w:r>
      <w:r w:rsidR="00337802" w:rsidRPr="00DA7B15">
        <w:rPr>
          <w:rFonts w:ascii="Times New Roman" w:hAnsi="Times New Roman" w:cs="Times New Roman"/>
          <w:b/>
          <w:sz w:val="24"/>
          <w:szCs w:val="24"/>
        </w:rPr>
        <w:t>Yardımcı maddelerin listesi</w:t>
      </w:r>
    </w:p>
    <w:p w:rsidR="008036AE" w:rsidRPr="00DA7B15" w:rsidRDefault="008036AE"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Mısır nişastası</w:t>
      </w:r>
    </w:p>
    <w:p w:rsidR="008036AE" w:rsidRPr="00DA7B15" w:rsidRDefault="008036AE"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Mikrokristalin selüloz PH101</w:t>
      </w:r>
    </w:p>
    <w:p w:rsidR="008036AE" w:rsidRPr="00DA7B15" w:rsidRDefault="008036AE"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lastRenderedPageBreak/>
        <w:t>Sodyum nişasta glikolat (Primojel)Tip A</w:t>
      </w:r>
    </w:p>
    <w:p w:rsidR="008036AE" w:rsidRPr="00DA7B15" w:rsidRDefault="008036AE"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Gliserol monostearat</w:t>
      </w:r>
    </w:p>
    <w:p w:rsidR="008036AE" w:rsidRPr="00DA7B15" w:rsidRDefault="008036AE" w:rsidP="008036AE">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Mikrokristalin selüloz PH102</w:t>
      </w:r>
    </w:p>
    <w:p w:rsidR="008036AE" w:rsidRPr="00DA7B15" w:rsidRDefault="008036AE" w:rsidP="008036AE">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Polivinil alkol</w:t>
      </w:r>
    </w:p>
    <w:p w:rsidR="008036AE" w:rsidRPr="00DA7B15" w:rsidRDefault="008036AE" w:rsidP="008036AE">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Talk</w:t>
      </w:r>
    </w:p>
    <w:p w:rsidR="008036AE" w:rsidRPr="00DA7B15" w:rsidRDefault="008036AE" w:rsidP="008036AE">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Makrogol /PEG 3350</w:t>
      </w:r>
    </w:p>
    <w:p w:rsidR="008036AE" w:rsidRPr="00DA7B15" w:rsidRDefault="008036AE" w:rsidP="008036AE">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Titanyum dioksit</w:t>
      </w:r>
    </w:p>
    <w:p w:rsidR="00E70974" w:rsidRPr="00DA7B15" w:rsidRDefault="00E70974" w:rsidP="00AA1814">
      <w:pPr>
        <w:shd w:val="clear" w:color="auto" w:fill="FFFFFF"/>
        <w:spacing w:line="360" w:lineRule="auto"/>
        <w:ind w:left="142"/>
        <w:jc w:val="both"/>
        <w:rPr>
          <w:rFonts w:ascii="Times New Roman" w:hAnsi="Times New Roman" w:cs="Times New Roman"/>
          <w:sz w:val="24"/>
          <w:szCs w:val="24"/>
        </w:rPr>
      </w:pPr>
    </w:p>
    <w:p w:rsidR="00337802" w:rsidRPr="00DA7B15" w:rsidRDefault="00337802"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6.2.</w:t>
      </w:r>
      <w:r w:rsidRPr="00DA7B15">
        <w:rPr>
          <w:rFonts w:ascii="Times New Roman" w:hAnsi="Times New Roman" w:cs="Times New Roman"/>
          <w:b/>
          <w:sz w:val="24"/>
          <w:szCs w:val="24"/>
        </w:rPr>
        <w:tab/>
        <w:t>Geçimsizlikler</w:t>
      </w:r>
    </w:p>
    <w:p w:rsidR="00337802" w:rsidRPr="00DA7B15" w:rsidRDefault="008036AE"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Geçerli değildir</w:t>
      </w:r>
    </w:p>
    <w:p w:rsidR="00815B06" w:rsidRPr="00DA7B15" w:rsidRDefault="00815B06" w:rsidP="00AA1814">
      <w:pPr>
        <w:shd w:val="clear" w:color="auto" w:fill="FFFFFF"/>
        <w:spacing w:line="360" w:lineRule="auto"/>
        <w:ind w:left="142"/>
        <w:jc w:val="both"/>
        <w:rPr>
          <w:rFonts w:ascii="Times New Roman" w:hAnsi="Times New Roman" w:cs="Times New Roman"/>
          <w:sz w:val="24"/>
          <w:szCs w:val="24"/>
        </w:rPr>
      </w:pPr>
    </w:p>
    <w:p w:rsidR="00337802" w:rsidRPr="00DA7B15" w:rsidRDefault="00337802"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6.3.</w:t>
      </w:r>
      <w:r w:rsidRPr="00DA7B15">
        <w:rPr>
          <w:rFonts w:ascii="Times New Roman" w:hAnsi="Times New Roman" w:cs="Times New Roman"/>
          <w:b/>
          <w:sz w:val="24"/>
          <w:szCs w:val="24"/>
        </w:rPr>
        <w:tab/>
        <w:t>Raf ömrü</w:t>
      </w:r>
    </w:p>
    <w:p w:rsidR="00815B06" w:rsidRPr="00DA7B15" w:rsidRDefault="004C1903"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24 ay</w:t>
      </w:r>
    </w:p>
    <w:p w:rsidR="00FB527F" w:rsidRPr="00DA7B15" w:rsidRDefault="00FB527F" w:rsidP="00AA1814">
      <w:pPr>
        <w:shd w:val="clear" w:color="auto" w:fill="FFFFFF"/>
        <w:spacing w:line="360" w:lineRule="auto"/>
        <w:ind w:left="142"/>
        <w:jc w:val="both"/>
        <w:rPr>
          <w:rFonts w:ascii="Times New Roman" w:hAnsi="Times New Roman" w:cs="Times New Roman"/>
          <w:sz w:val="24"/>
          <w:szCs w:val="24"/>
        </w:rPr>
      </w:pPr>
    </w:p>
    <w:p w:rsidR="00337802" w:rsidRPr="00DA7B15" w:rsidRDefault="00337802"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6.4.</w:t>
      </w:r>
      <w:r w:rsidRPr="00DA7B15">
        <w:rPr>
          <w:rFonts w:ascii="Times New Roman" w:hAnsi="Times New Roman" w:cs="Times New Roman"/>
          <w:b/>
          <w:sz w:val="24"/>
          <w:szCs w:val="24"/>
        </w:rPr>
        <w:tab/>
        <w:t>Saklamaya yönelik özel uyarılar</w:t>
      </w:r>
    </w:p>
    <w:p w:rsidR="00FB527F" w:rsidRPr="00DA7B15" w:rsidRDefault="004C1903"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30</w:t>
      </w:r>
      <w:r w:rsidRPr="00DA7B15">
        <w:rPr>
          <w:rFonts w:ascii="Times New Roman" w:hAnsi="Times New Roman" w:cs="Times New Roman"/>
          <w:sz w:val="24"/>
          <w:szCs w:val="24"/>
          <w:vertAlign w:val="superscript"/>
        </w:rPr>
        <w:t>o</w:t>
      </w:r>
      <w:r w:rsidRPr="00DA7B15">
        <w:rPr>
          <w:rFonts w:ascii="Times New Roman" w:hAnsi="Times New Roman" w:cs="Times New Roman"/>
          <w:sz w:val="24"/>
          <w:szCs w:val="24"/>
        </w:rPr>
        <w:t>C</w:t>
      </w:r>
      <w:r w:rsidR="00791F66" w:rsidRPr="00DA7B15">
        <w:rPr>
          <w:rFonts w:ascii="Times New Roman" w:hAnsi="Times New Roman" w:cs="Times New Roman"/>
          <w:sz w:val="24"/>
          <w:szCs w:val="24"/>
        </w:rPr>
        <w:t>’</w:t>
      </w:r>
      <w:r w:rsidRPr="00DA7B15">
        <w:rPr>
          <w:rFonts w:ascii="Times New Roman" w:hAnsi="Times New Roman" w:cs="Times New Roman"/>
          <w:sz w:val="24"/>
          <w:szCs w:val="24"/>
        </w:rPr>
        <w:t>nin altındaki oda sıcaklığında</w:t>
      </w:r>
      <w:r w:rsidR="008D0A83" w:rsidRPr="00DA7B15">
        <w:rPr>
          <w:rFonts w:ascii="Times New Roman" w:hAnsi="Times New Roman" w:cs="Times New Roman"/>
          <w:sz w:val="24"/>
          <w:szCs w:val="24"/>
        </w:rPr>
        <w:t xml:space="preserve"> saklayınız.</w:t>
      </w:r>
    </w:p>
    <w:p w:rsidR="00FB527F" w:rsidRPr="00DA7B15" w:rsidRDefault="00FB527F" w:rsidP="00AA1814">
      <w:pPr>
        <w:shd w:val="clear" w:color="auto" w:fill="FFFFFF"/>
        <w:spacing w:line="360" w:lineRule="auto"/>
        <w:ind w:left="142"/>
        <w:jc w:val="both"/>
        <w:rPr>
          <w:rFonts w:ascii="Times New Roman" w:hAnsi="Times New Roman" w:cs="Times New Roman"/>
          <w:b/>
          <w:sz w:val="24"/>
          <w:szCs w:val="24"/>
        </w:rPr>
      </w:pPr>
    </w:p>
    <w:p w:rsidR="00337802" w:rsidRPr="00DA7B15" w:rsidRDefault="00337802"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6.5.</w:t>
      </w:r>
      <w:r w:rsidRPr="00DA7B15">
        <w:rPr>
          <w:rFonts w:ascii="Times New Roman" w:hAnsi="Times New Roman" w:cs="Times New Roman"/>
          <w:b/>
          <w:sz w:val="24"/>
          <w:szCs w:val="24"/>
        </w:rPr>
        <w:tab/>
        <w:t>Ambalajın niteliği ve içeriği</w:t>
      </w:r>
    </w:p>
    <w:p w:rsidR="00295DB7" w:rsidRPr="00DA7B15" w:rsidRDefault="00295DB7"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Bir yüzü şeffaf PVC folyo diğer yüzü Aluminyum folyo blister</w:t>
      </w:r>
    </w:p>
    <w:p w:rsidR="008036AE" w:rsidRPr="00DA7B15" w:rsidRDefault="008036AE" w:rsidP="008036AE">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Blisterler karton kutular içerisinde paketlenir. 20 tablet içeren blister ambalajlarda kullanma talimatı ile birlikte kutu içerisinde sunulmaktadır. </w:t>
      </w:r>
    </w:p>
    <w:p w:rsidR="00815B06" w:rsidRPr="00DA7B15" w:rsidRDefault="00815B06" w:rsidP="00AA1814">
      <w:pPr>
        <w:shd w:val="clear" w:color="auto" w:fill="FFFFFF"/>
        <w:spacing w:line="360" w:lineRule="auto"/>
        <w:ind w:left="142"/>
        <w:jc w:val="both"/>
        <w:rPr>
          <w:rFonts w:ascii="Times New Roman" w:hAnsi="Times New Roman" w:cs="Times New Roman"/>
          <w:sz w:val="24"/>
          <w:szCs w:val="24"/>
        </w:rPr>
      </w:pPr>
    </w:p>
    <w:p w:rsidR="0065437C" w:rsidRPr="00DA7B15" w:rsidRDefault="00DF2BFA"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 xml:space="preserve">6.6. </w:t>
      </w:r>
      <w:r w:rsidR="0065437C" w:rsidRPr="00DA7B15">
        <w:rPr>
          <w:rFonts w:ascii="Times New Roman" w:hAnsi="Times New Roman" w:cs="Times New Roman"/>
          <w:b/>
          <w:sz w:val="24"/>
          <w:szCs w:val="24"/>
        </w:rPr>
        <w:t>Beşeri tıbbi üründen arta kalan maddelerin imhası ve diğer özel önlemler</w:t>
      </w:r>
    </w:p>
    <w:p w:rsidR="0065437C" w:rsidRPr="00DA7B15" w:rsidRDefault="0065437C"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Kullanılmamış olan ürünler yada atık materyaller "Tıbbi Atıkların Kontrolü Yönetmeliği" ve "Ambalaj ve Ambalaj Atıkları Kontrolü Yönetmel</w:t>
      </w:r>
      <w:r w:rsidR="00393657" w:rsidRPr="00DA7B15">
        <w:rPr>
          <w:rFonts w:ascii="Times New Roman" w:hAnsi="Times New Roman" w:cs="Times New Roman"/>
          <w:sz w:val="24"/>
          <w:szCs w:val="24"/>
        </w:rPr>
        <w:t>i</w:t>
      </w:r>
      <w:r w:rsidRPr="00DA7B15">
        <w:rPr>
          <w:rFonts w:ascii="Times New Roman" w:hAnsi="Times New Roman" w:cs="Times New Roman"/>
          <w:sz w:val="24"/>
          <w:szCs w:val="24"/>
        </w:rPr>
        <w:t>ği"ne uygun olarak imha edilmelidir.</w:t>
      </w:r>
    </w:p>
    <w:p w:rsidR="002655E0" w:rsidRPr="00DA7B15" w:rsidRDefault="002655E0" w:rsidP="00AA1814">
      <w:pPr>
        <w:shd w:val="clear" w:color="auto" w:fill="FFFFFF"/>
        <w:spacing w:line="360" w:lineRule="auto"/>
        <w:ind w:left="142"/>
        <w:jc w:val="both"/>
        <w:rPr>
          <w:rFonts w:ascii="Times New Roman" w:hAnsi="Times New Roman" w:cs="Times New Roman"/>
          <w:sz w:val="24"/>
          <w:szCs w:val="24"/>
        </w:rPr>
      </w:pPr>
    </w:p>
    <w:p w:rsidR="00DF2BFA" w:rsidRPr="00DA7B15" w:rsidRDefault="00DF2BFA" w:rsidP="00AA1814">
      <w:pPr>
        <w:spacing w:after="110" w:line="1" w:lineRule="exact"/>
        <w:ind w:left="142"/>
        <w:rPr>
          <w:sz w:val="2"/>
          <w:szCs w:val="2"/>
        </w:rPr>
      </w:pPr>
    </w:p>
    <w:p w:rsidR="008A57FF" w:rsidRPr="00DA7B15" w:rsidRDefault="008A57FF"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7.</w:t>
      </w:r>
      <w:r w:rsidRPr="00DA7B15">
        <w:rPr>
          <w:rFonts w:ascii="Times New Roman" w:hAnsi="Times New Roman" w:cs="Times New Roman"/>
          <w:b/>
          <w:sz w:val="24"/>
          <w:szCs w:val="24"/>
        </w:rPr>
        <w:tab/>
        <w:t>RUHSAT SAHİBİ</w:t>
      </w:r>
    </w:p>
    <w:p w:rsidR="00171850" w:rsidRPr="00DA7B15" w:rsidRDefault="00171850" w:rsidP="00AA1814">
      <w:pPr>
        <w:autoSpaceDE/>
        <w:autoSpaceDN/>
        <w:adjustRightInd/>
        <w:spacing w:line="360" w:lineRule="auto"/>
        <w:ind w:left="142"/>
        <w:jc w:val="both"/>
        <w:rPr>
          <w:rFonts w:ascii="Times New Roman" w:eastAsia="MS Mincho" w:hAnsi="Times New Roman"/>
          <w:sz w:val="24"/>
          <w:szCs w:val="24"/>
          <w:lang w:eastAsia="ja-JP"/>
        </w:rPr>
      </w:pPr>
      <w:r w:rsidRPr="00DA7B15">
        <w:rPr>
          <w:rFonts w:ascii="Times New Roman" w:eastAsia="MS Mincho" w:hAnsi="Times New Roman"/>
          <w:sz w:val="24"/>
          <w:szCs w:val="24"/>
          <w:lang w:eastAsia="ja-JP"/>
        </w:rPr>
        <w:t xml:space="preserve">Deva Holding A.Ş. </w:t>
      </w:r>
    </w:p>
    <w:p w:rsidR="00171850" w:rsidRPr="00DA7B15" w:rsidRDefault="00171850" w:rsidP="00AA1814">
      <w:pPr>
        <w:autoSpaceDE/>
        <w:autoSpaceDN/>
        <w:adjustRightInd/>
        <w:spacing w:line="360" w:lineRule="auto"/>
        <w:ind w:left="142"/>
        <w:jc w:val="both"/>
        <w:rPr>
          <w:rFonts w:ascii="Times New Roman" w:eastAsia="MS Mincho" w:hAnsi="Times New Roman"/>
          <w:sz w:val="24"/>
          <w:szCs w:val="24"/>
          <w:lang w:eastAsia="ja-JP"/>
        </w:rPr>
      </w:pPr>
      <w:r w:rsidRPr="00DA7B15">
        <w:rPr>
          <w:rFonts w:ascii="Times New Roman" w:eastAsia="MS Mincho" w:hAnsi="Times New Roman"/>
          <w:sz w:val="24"/>
          <w:szCs w:val="24"/>
          <w:lang w:eastAsia="ja-JP"/>
        </w:rPr>
        <w:t>Halkalı Merkez Mah. Basın Ekpres Cad. 343003 No:1</w:t>
      </w:r>
    </w:p>
    <w:p w:rsidR="00171850" w:rsidRPr="00DA7B15" w:rsidRDefault="00171850" w:rsidP="00AA1814">
      <w:pPr>
        <w:autoSpaceDE/>
        <w:autoSpaceDN/>
        <w:adjustRightInd/>
        <w:spacing w:line="360" w:lineRule="auto"/>
        <w:ind w:left="142"/>
        <w:jc w:val="both"/>
        <w:rPr>
          <w:rFonts w:ascii="Times New Roman" w:eastAsia="MS Mincho" w:hAnsi="Times New Roman"/>
          <w:sz w:val="24"/>
          <w:szCs w:val="24"/>
          <w:lang w:eastAsia="ja-JP"/>
        </w:rPr>
      </w:pPr>
      <w:r w:rsidRPr="00DA7B15">
        <w:rPr>
          <w:rFonts w:ascii="Times New Roman" w:eastAsia="MS Mincho" w:hAnsi="Times New Roman"/>
          <w:sz w:val="24"/>
          <w:szCs w:val="24"/>
          <w:lang w:eastAsia="ja-JP"/>
        </w:rPr>
        <w:t>Küçükçekmece/İSTANBUL</w:t>
      </w:r>
    </w:p>
    <w:p w:rsidR="00171850" w:rsidRPr="00DA7B15" w:rsidRDefault="00171850" w:rsidP="00AA1814">
      <w:pPr>
        <w:autoSpaceDE/>
        <w:autoSpaceDN/>
        <w:adjustRightInd/>
        <w:spacing w:line="360" w:lineRule="auto"/>
        <w:ind w:left="142"/>
        <w:jc w:val="both"/>
        <w:rPr>
          <w:rFonts w:ascii="Times New Roman" w:eastAsia="MS Mincho" w:hAnsi="Times New Roman"/>
          <w:sz w:val="24"/>
          <w:szCs w:val="24"/>
          <w:lang w:eastAsia="ja-JP"/>
        </w:rPr>
      </w:pPr>
      <w:proofErr w:type="gramStart"/>
      <w:r w:rsidRPr="00DA7B15">
        <w:rPr>
          <w:rFonts w:ascii="Times New Roman" w:eastAsia="MS Mincho" w:hAnsi="Times New Roman"/>
          <w:b/>
          <w:sz w:val="24"/>
          <w:szCs w:val="24"/>
          <w:lang w:eastAsia="ja-JP"/>
        </w:rPr>
        <w:t>Tel :</w:t>
      </w:r>
      <w:r w:rsidRPr="00DA7B15">
        <w:rPr>
          <w:rFonts w:ascii="Times New Roman" w:eastAsia="MS Mincho" w:hAnsi="Times New Roman"/>
          <w:sz w:val="24"/>
          <w:szCs w:val="24"/>
          <w:lang w:eastAsia="ja-JP"/>
        </w:rPr>
        <w:t xml:space="preserve"> 0212</w:t>
      </w:r>
      <w:proofErr w:type="gramEnd"/>
      <w:r w:rsidRPr="00DA7B15">
        <w:rPr>
          <w:rFonts w:ascii="Times New Roman" w:eastAsia="MS Mincho" w:hAnsi="Times New Roman"/>
          <w:sz w:val="24"/>
          <w:szCs w:val="24"/>
          <w:lang w:eastAsia="ja-JP"/>
        </w:rPr>
        <w:t xml:space="preserve"> 692 92 92</w:t>
      </w:r>
    </w:p>
    <w:p w:rsidR="00171850" w:rsidRPr="00DA7B15" w:rsidRDefault="00171850" w:rsidP="00AA1814">
      <w:pPr>
        <w:autoSpaceDE/>
        <w:autoSpaceDN/>
        <w:adjustRightInd/>
        <w:spacing w:line="360" w:lineRule="auto"/>
        <w:ind w:left="142"/>
        <w:jc w:val="both"/>
        <w:rPr>
          <w:rFonts w:ascii="Times New Roman" w:eastAsia="MS Mincho" w:hAnsi="Times New Roman"/>
          <w:sz w:val="24"/>
          <w:szCs w:val="24"/>
          <w:lang w:eastAsia="ja-JP"/>
        </w:rPr>
      </w:pPr>
      <w:r w:rsidRPr="00DA7B15">
        <w:rPr>
          <w:rFonts w:ascii="Times New Roman" w:eastAsia="MS Mincho" w:hAnsi="Times New Roman"/>
          <w:b/>
          <w:sz w:val="24"/>
          <w:szCs w:val="24"/>
          <w:lang w:eastAsia="ja-JP"/>
        </w:rPr>
        <w:t xml:space="preserve">Faks: </w:t>
      </w:r>
      <w:r w:rsidRPr="00DA7B15">
        <w:rPr>
          <w:rFonts w:ascii="Times New Roman" w:eastAsia="MS Mincho" w:hAnsi="Times New Roman"/>
          <w:sz w:val="24"/>
          <w:szCs w:val="24"/>
          <w:lang w:eastAsia="ja-JP"/>
        </w:rPr>
        <w:t>0212 697 00 24</w:t>
      </w:r>
    </w:p>
    <w:p w:rsidR="00171850" w:rsidRPr="00DA7B15" w:rsidRDefault="00171850" w:rsidP="00AA1814">
      <w:pPr>
        <w:autoSpaceDE/>
        <w:autoSpaceDN/>
        <w:adjustRightInd/>
        <w:spacing w:line="360" w:lineRule="auto"/>
        <w:ind w:left="142"/>
        <w:jc w:val="both"/>
        <w:rPr>
          <w:rFonts w:ascii="Times New Roman" w:eastAsia="MS Mincho" w:hAnsi="Times New Roman"/>
          <w:sz w:val="24"/>
          <w:szCs w:val="24"/>
          <w:lang w:eastAsia="ja-JP"/>
        </w:rPr>
      </w:pPr>
    </w:p>
    <w:p w:rsidR="008A57FF" w:rsidRPr="00DA7B15" w:rsidRDefault="008A57FF"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lastRenderedPageBreak/>
        <w:t>8.</w:t>
      </w:r>
      <w:r w:rsidRPr="00DA7B15">
        <w:rPr>
          <w:rFonts w:ascii="Times New Roman" w:hAnsi="Times New Roman" w:cs="Times New Roman"/>
          <w:b/>
          <w:sz w:val="24"/>
          <w:szCs w:val="24"/>
        </w:rPr>
        <w:tab/>
        <w:t>RUHSAT NUMARASI</w:t>
      </w:r>
    </w:p>
    <w:p w:rsidR="00171850" w:rsidRPr="00DA7B15" w:rsidRDefault="006C275D" w:rsidP="00AA1814">
      <w:pPr>
        <w:shd w:val="clear" w:color="auto" w:fill="FFFFFF"/>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249/55</w:t>
      </w:r>
    </w:p>
    <w:p w:rsidR="008A57FF" w:rsidRPr="00DA7B15" w:rsidRDefault="008A57FF" w:rsidP="00AA1814">
      <w:pPr>
        <w:shd w:val="clear" w:color="auto" w:fill="FFFFFF"/>
        <w:spacing w:line="360" w:lineRule="auto"/>
        <w:ind w:left="142"/>
        <w:jc w:val="both"/>
        <w:rPr>
          <w:rFonts w:ascii="Times New Roman" w:hAnsi="Times New Roman" w:cs="Times New Roman"/>
          <w:b/>
          <w:sz w:val="24"/>
          <w:szCs w:val="24"/>
        </w:rPr>
      </w:pPr>
      <w:r w:rsidRPr="00DA7B15">
        <w:rPr>
          <w:rFonts w:ascii="Times New Roman" w:hAnsi="Times New Roman" w:cs="Times New Roman"/>
          <w:b/>
          <w:sz w:val="24"/>
          <w:szCs w:val="24"/>
        </w:rPr>
        <w:t>9.</w:t>
      </w:r>
      <w:r w:rsidRPr="00DA7B15">
        <w:rPr>
          <w:rFonts w:ascii="Times New Roman" w:hAnsi="Times New Roman" w:cs="Times New Roman"/>
          <w:b/>
          <w:sz w:val="24"/>
          <w:szCs w:val="24"/>
        </w:rPr>
        <w:tab/>
        <w:t>İLK RUHSAT TARİHİ / RUHSAT YENİLEME TARİHİ</w:t>
      </w:r>
    </w:p>
    <w:p w:rsidR="00171850" w:rsidRPr="00DA7B15" w:rsidRDefault="008A57FF"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İlk ruhsatlandırma tarihi: </w:t>
      </w:r>
      <w:r w:rsidR="006C275D">
        <w:rPr>
          <w:rFonts w:ascii="Times New Roman" w:hAnsi="Times New Roman" w:cs="Times New Roman"/>
          <w:sz w:val="24"/>
          <w:szCs w:val="24"/>
        </w:rPr>
        <w:t>04.04.2013</w:t>
      </w:r>
    </w:p>
    <w:p w:rsidR="008A57FF" w:rsidRPr="00DA7B15" w:rsidRDefault="008A57FF" w:rsidP="00AA1814">
      <w:pPr>
        <w:shd w:val="clear" w:color="auto" w:fill="FFFFFF"/>
        <w:spacing w:line="360" w:lineRule="auto"/>
        <w:ind w:left="142"/>
        <w:jc w:val="both"/>
        <w:rPr>
          <w:rFonts w:ascii="Times New Roman" w:hAnsi="Times New Roman" w:cs="Times New Roman"/>
          <w:sz w:val="24"/>
          <w:szCs w:val="24"/>
        </w:rPr>
      </w:pPr>
      <w:r w:rsidRPr="00DA7B15">
        <w:rPr>
          <w:rFonts w:ascii="Times New Roman" w:hAnsi="Times New Roman" w:cs="Times New Roman"/>
          <w:sz w:val="24"/>
          <w:szCs w:val="24"/>
        </w:rPr>
        <w:t xml:space="preserve">Son yenileme tarihi: </w:t>
      </w:r>
    </w:p>
    <w:p w:rsidR="00171850" w:rsidRPr="00DA7B15" w:rsidRDefault="00171850" w:rsidP="00AA1814">
      <w:pPr>
        <w:shd w:val="clear" w:color="auto" w:fill="FFFFFF"/>
        <w:spacing w:line="360" w:lineRule="auto"/>
        <w:ind w:left="142"/>
        <w:jc w:val="both"/>
        <w:rPr>
          <w:rFonts w:ascii="Times New Roman" w:hAnsi="Times New Roman" w:cs="Times New Roman"/>
          <w:sz w:val="24"/>
          <w:szCs w:val="24"/>
        </w:rPr>
      </w:pPr>
    </w:p>
    <w:p w:rsidR="008A57FF" w:rsidRPr="00DA7B15" w:rsidRDefault="008A57FF" w:rsidP="00AA1814">
      <w:pPr>
        <w:shd w:val="clear" w:color="auto" w:fill="FFFFFF"/>
        <w:spacing w:line="360" w:lineRule="auto"/>
        <w:ind w:left="142"/>
        <w:jc w:val="both"/>
        <w:rPr>
          <w:b/>
        </w:rPr>
      </w:pPr>
      <w:r w:rsidRPr="00DA7B15">
        <w:rPr>
          <w:rFonts w:ascii="Times New Roman" w:hAnsi="Times New Roman" w:cs="Times New Roman"/>
          <w:b/>
          <w:sz w:val="24"/>
          <w:szCs w:val="24"/>
        </w:rPr>
        <w:t>10.</w:t>
      </w:r>
      <w:r w:rsidRPr="00DA7B15">
        <w:rPr>
          <w:rFonts w:ascii="Times New Roman" w:hAnsi="Times New Roman" w:cs="Times New Roman"/>
          <w:b/>
          <w:sz w:val="24"/>
          <w:szCs w:val="24"/>
        </w:rPr>
        <w:tab/>
        <w:t>KÜB</w:t>
      </w:r>
      <w:r w:rsidR="00791F66" w:rsidRPr="00DA7B15">
        <w:rPr>
          <w:rFonts w:ascii="Times New Roman" w:hAnsi="Times New Roman" w:cs="Times New Roman"/>
          <w:b/>
          <w:sz w:val="24"/>
          <w:szCs w:val="24"/>
        </w:rPr>
        <w:t>’</w:t>
      </w:r>
      <w:r w:rsidRPr="00DA7B15">
        <w:rPr>
          <w:rFonts w:ascii="Times New Roman" w:hAnsi="Times New Roman" w:cs="Times New Roman"/>
          <w:b/>
          <w:sz w:val="24"/>
          <w:szCs w:val="24"/>
        </w:rPr>
        <w:t>ÜN YENİLENME TARİH</w:t>
      </w:r>
      <w:r w:rsidRPr="00DA7B15">
        <w:rPr>
          <w:b/>
          <w:bCs/>
        </w:rPr>
        <w:t>İ</w:t>
      </w:r>
    </w:p>
    <w:sectPr w:rsidR="008A57FF" w:rsidRPr="00DA7B15" w:rsidSect="00AA1814">
      <w:footerReference w:type="default" r:id="rId8"/>
      <w:type w:val="continuous"/>
      <w:pgSz w:w="11909" w:h="16834"/>
      <w:pgMar w:top="1701" w:right="1419" w:bottom="1418" w:left="156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E9" w:rsidRDefault="00CB0EE9" w:rsidP="007B1BA8">
      <w:r>
        <w:separator/>
      </w:r>
    </w:p>
  </w:endnote>
  <w:endnote w:type="continuationSeparator" w:id="0">
    <w:p w:rsidR="00CB0EE9" w:rsidRDefault="00CB0EE9" w:rsidP="007B1BA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235"/>
      <w:docPartObj>
        <w:docPartGallery w:val="Page Numbers (Bottom of Page)"/>
        <w:docPartUnique/>
      </w:docPartObj>
    </w:sdt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284144" w:rsidRDefault="003D305F">
            <w:pPr>
              <w:pStyle w:val="Altbilgi"/>
              <w:jc w:val="right"/>
            </w:pPr>
            <w:r w:rsidRPr="00045FD2">
              <w:rPr>
                <w:rFonts w:ascii="Times New Roman" w:hAnsi="Times New Roman" w:cs="Times New Roman"/>
                <w:sz w:val="24"/>
                <w:szCs w:val="24"/>
              </w:rPr>
              <w:fldChar w:fldCharType="begin"/>
            </w:r>
            <w:r w:rsidR="00284144" w:rsidRPr="00045FD2">
              <w:rPr>
                <w:rFonts w:ascii="Times New Roman" w:hAnsi="Times New Roman" w:cs="Times New Roman"/>
                <w:sz w:val="24"/>
                <w:szCs w:val="24"/>
              </w:rPr>
              <w:instrText>PAGE</w:instrText>
            </w:r>
            <w:r w:rsidRPr="00045FD2">
              <w:rPr>
                <w:rFonts w:ascii="Times New Roman" w:hAnsi="Times New Roman" w:cs="Times New Roman"/>
                <w:sz w:val="24"/>
                <w:szCs w:val="24"/>
              </w:rPr>
              <w:fldChar w:fldCharType="separate"/>
            </w:r>
            <w:r w:rsidR="0066431E">
              <w:rPr>
                <w:rFonts w:ascii="Times New Roman" w:hAnsi="Times New Roman" w:cs="Times New Roman"/>
                <w:noProof/>
                <w:sz w:val="24"/>
                <w:szCs w:val="24"/>
              </w:rPr>
              <w:t>13</w:t>
            </w:r>
            <w:r w:rsidRPr="00045FD2">
              <w:rPr>
                <w:rFonts w:ascii="Times New Roman" w:hAnsi="Times New Roman" w:cs="Times New Roman"/>
                <w:sz w:val="24"/>
                <w:szCs w:val="24"/>
              </w:rPr>
              <w:fldChar w:fldCharType="end"/>
            </w:r>
            <w:r w:rsidR="00284144" w:rsidRPr="00045FD2">
              <w:rPr>
                <w:rFonts w:ascii="Times New Roman" w:hAnsi="Times New Roman" w:cs="Times New Roman"/>
                <w:sz w:val="24"/>
                <w:szCs w:val="24"/>
              </w:rPr>
              <w:t xml:space="preserve"> / </w:t>
            </w:r>
            <w:r w:rsidRPr="00045FD2">
              <w:rPr>
                <w:rFonts w:ascii="Times New Roman" w:hAnsi="Times New Roman" w:cs="Times New Roman"/>
                <w:sz w:val="24"/>
                <w:szCs w:val="24"/>
              </w:rPr>
              <w:fldChar w:fldCharType="begin"/>
            </w:r>
            <w:r w:rsidR="00284144" w:rsidRPr="00045FD2">
              <w:rPr>
                <w:rFonts w:ascii="Times New Roman" w:hAnsi="Times New Roman" w:cs="Times New Roman"/>
                <w:sz w:val="24"/>
                <w:szCs w:val="24"/>
              </w:rPr>
              <w:instrText>NUMPAGES</w:instrText>
            </w:r>
            <w:r w:rsidRPr="00045FD2">
              <w:rPr>
                <w:rFonts w:ascii="Times New Roman" w:hAnsi="Times New Roman" w:cs="Times New Roman"/>
                <w:sz w:val="24"/>
                <w:szCs w:val="24"/>
              </w:rPr>
              <w:fldChar w:fldCharType="separate"/>
            </w:r>
            <w:r w:rsidR="0066431E">
              <w:rPr>
                <w:rFonts w:ascii="Times New Roman" w:hAnsi="Times New Roman" w:cs="Times New Roman"/>
                <w:noProof/>
                <w:sz w:val="24"/>
                <w:szCs w:val="24"/>
              </w:rPr>
              <w:t>17</w:t>
            </w:r>
            <w:r w:rsidRPr="00045FD2">
              <w:rPr>
                <w:rFonts w:ascii="Times New Roman" w:hAnsi="Times New Roman" w:cs="Times New Roman"/>
                <w:sz w:val="24"/>
                <w:szCs w:val="24"/>
              </w:rPr>
              <w:fldChar w:fldCharType="end"/>
            </w:r>
          </w:p>
        </w:sdtContent>
      </w:sdt>
    </w:sdtContent>
  </w:sdt>
  <w:p w:rsidR="00284144" w:rsidRDefault="002841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E9" w:rsidRDefault="00CB0EE9" w:rsidP="007B1BA8">
      <w:r>
        <w:separator/>
      </w:r>
    </w:p>
  </w:footnote>
  <w:footnote w:type="continuationSeparator" w:id="0">
    <w:p w:rsidR="00CB0EE9" w:rsidRDefault="00CB0EE9" w:rsidP="007B1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233C2"/>
    <w:lvl w:ilvl="0">
      <w:numFmt w:val="bullet"/>
      <w:lvlText w:val="*"/>
      <w:lvlJc w:val="left"/>
    </w:lvl>
  </w:abstractNum>
  <w:abstractNum w:abstractNumId="1">
    <w:nsid w:val="01C91F48"/>
    <w:multiLevelType w:val="singleLevel"/>
    <w:tmpl w:val="C74C304A"/>
    <w:lvl w:ilvl="0">
      <w:start w:val="3"/>
      <w:numFmt w:val="decimal"/>
      <w:lvlText w:val="6.%1"/>
      <w:legacy w:legacy="1" w:legacySpace="0" w:legacyIndent="341"/>
      <w:lvlJc w:val="left"/>
      <w:rPr>
        <w:rFonts w:ascii="Verdana" w:hAnsi="Verdana" w:hint="default"/>
      </w:rPr>
    </w:lvl>
  </w:abstractNum>
  <w:abstractNum w:abstractNumId="2">
    <w:nsid w:val="022D16D3"/>
    <w:multiLevelType w:val="hybridMultilevel"/>
    <w:tmpl w:val="7DE2ED86"/>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165FDD"/>
    <w:multiLevelType w:val="hybridMultilevel"/>
    <w:tmpl w:val="B7A827FA"/>
    <w:lvl w:ilvl="0" w:tplc="0A60481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B617C3A"/>
    <w:multiLevelType w:val="hybridMultilevel"/>
    <w:tmpl w:val="0264F13A"/>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6D6619"/>
    <w:multiLevelType w:val="hybridMultilevel"/>
    <w:tmpl w:val="48D8DD7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nsid w:val="260679CE"/>
    <w:multiLevelType w:val="hybridMultilevel"/>
    <w:tmpl w:val="4C10854E"/>
    <w:lvl w:ilvl="0" w:tplc="AA6A1924">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2B021F2E"/>
    <w:multiLevelType w:val="singleLevel"/>
    <w:tmpl w:val="E0CEF2DE"/>
    <w:lvl w:ilvl="0">
      <w:start w:val="2"/>
      <w:numFmt w:val="decimal"/>
      <w:lvlText w:val="%1"/>
      <w:legacy w:legacy="1" w:legacySpace="0" w:legacyIndent="154"/>
      <w:lvlJc w:val="left"/>
      <w:rPr>
        <w:rFonts w:ascii="Arial" w:hAnsi="Arial" w:cs="Arial" w:hint="default"/>
      </w:rPr>
    </w:lvl>
  </w:abstractNum>
  <w:abstractNum w:abstractNumId="8">
    <w:nsid w:val="2B4D5AE3"/>
    <w:multiLevelType w:val="hybridMultilevel"/>
    <w:tmpl w:val="FCD89118"/>
    <w:lvl w:ilvl="0" w:tplc="AA6A1924">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3F427BF3"/>
    <w:multiLevelType w:val="hybridMultilevel"/>
    <w:tmpl w:val="667650F6"/>
    <w:lvl w:ilvl="0" w:tplc="E76218B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42A91A45"/>
    <w:multiLevelType w:val="multilevel"/>
    <w:tmpl w:val="0C6AA53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55E32E2F"/>
    <w:multiLevelType w:val="hybridMultilevel"/>
    <w:tmpl w:val="9274D564"/>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E257DF7"/>
    <w:multiLevelType w:val="hybridMultilevel"/>
    <w:tmpl w:val="7F5A21E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nsid w:val="5ED26992"/>
    <w:multiLevelType w:val="hybridMultilevel"/>
    <w:tmpl w:val="900E0246"/>
    <w:lvl w:ilvl="0" w:tplc="AA6A1924">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nsid w:val="75DA020E"/>
    <w:multiLevelType w:val="singleLevel"/>
    <w:tmpl w:val="FA308C70"/>
    <w:lvl w:ilvl="0">
      <w:start w:val="8"/>
      <w:numFmt w:val="decimal"/>
      <w:lvlText w:val="%1."/>
      <w:legacy w:legacy="1" w:legacySpace="0" w:legacyIndent="677"/>
      <w:lvlJc w:val="left"/>
      <w:rPr>
        <w:rFonts w:ascii="Verdana" w:hAnsi="Verdana" w:hint="default"/>
      </w:rPr>
    </w:lvl>
  </w:abstractNum>
  <w:num w:numId="1">
    <w:abstractNumId w:val="0"/>
    <w:lvlOverride w:ilvl="0">
      <w:lvl w:ilvl="0">
        <w:start w:val="65535"/>
        <w:numFmt w:val="bullet"/>
        <w:lvlText w:val="&gt;"/>
        <w:legacy w:legacy="1" w:legacySpace="0" w:legacyIndent="187"/>
        <w:lvlJc w:val="left"/>
        <w:rPr>
          <w:rFonts w:ascii="Verdana" w:hAnsi="Verdana" w:hint="default"/>
        </w:rPr>
      </w:lvl>
    </w:lvlOverride>
  </w:num>
  <w:num w:numId="2">
    <w:abstractNumId w:val="1"/>
  </w:num>
  <w:num w:numId="3">
    <w:abstractNumId w:val="14"/>
  </w:num>
  <w:num w:numId="4">
    <w:abstractNumId w:val="10"/>
  </w:num>
  <w:num w:numId="5">
    <w:abstractNumId w:val="0"/>
    <w:lvlOverride w:ilvl="0">
      <w:lvl w:ilvl="0">
        <w:start w:val="65535"/>
        <w:numFmt w:val="bullet"/>
        <w:lvlText w:val="-"/>
        <w:legacy w:legacy="1" w:legacySpace="0" w:legacyIndent="269"/>
        <w:lvlJc w:val="left"/>
        <w:rPr>
          <w:rFonts w:ascii="Verdana" w:hAnsi="Verdana" w:hint="default"/>
        </w:rPr>
      </w:lvl>
    </w:lvlOverride>
  </w:num>
  <w:num w:numId="6">
    <w:abstractNumId w:val="0"/>
    <w:lvlOverride w:ilvl="0">
      <w:lvl w:ilvl="0">
        <w:start w:val="65535"/>
        <w:numFmt w:val="bullet"/>
        <w:lvlText w:val="-"/>
        <w:legacy w:legacy="1" w:legacySpace="0" w:legacyIndent="130"/>
        <w:lvlJc w:val="left"/>
        <w:rPr>
          <w:rFonts w:ascii="Verdana" w:hAnsi="Verdana" w:hint="default"/>
        </w:rPr>
      </w:lvl>
    </w:lvlOverride>
  </w:num>
  <w:num w:numId="7">
    <w:abstractNumId w:val="0"/>
    <w:lvlOverride w:ilvl="0">
      <w:lvl w:ilvl="0">
        <w:start w:val="65535"/>
        <w:numFmt w:val="bullet"/>
        <w:lvlText w:val="-"/>
        <w:legacy w:legacy="1" w:legacySpace="0" w:legacyIndent="283"/>
        <w:lvlJc w:val="left"/>
        <w:rPr>
          <w:rFonts w:ascii="Verdana" w:hAnsi="Verdana" w:hint="default"/>
        </w:rPr>
      </w:lvl>
    </w:lvlOverride>
  </w:num>
  <w:num w:numId="8">
    <w:abstractNumId w:val="11"/>
  </w:num>
  <w:num w:numId="9">
    <w:abstractNumId w:val="2"/>
  </w:num>
  <w:num w:numId="10">
    <w:abstractNumId w:val="4"/>
  </w:num>
  <w:num w:numId="11">
    <w:abstractNumId w:val="7"/>
  </w:num>
  <w:num w:numId="12">
    <w:abstractNumId w:val="0"/>
    <w:lvlOverride w:ilvl="0">
      <w:lvl w:ilvl="0">
        <w:start w:val="65535"/>
        <w:numFmt w:val="bullet"/>
        <w:lvlText w:val="•"/>
        <w:legacy w:legacy="1" w:legacySpace="0" w:legacyIndent="183"/>
        <w:lvlJc w:val="left"/>
        <w:rPr>
          <w:rFonts w:ascii="Arial" w:hAnsi="Arial" w:cs="Arial" w:hint="default"/>
        </w:rPr>
      </w:lvl>
    </w:lvlOverride>
  </w:num>
  <w:num w:numId="13">
    <w:abstractNumId w:val="0"/>
    <w:lvlOverride w:ilvl="0">
      <w:lvl w:ilvl="0">
        <w:start w:val="65535"/>
        <w:numFmt w:val="bullet"/>
        <w:lvlText w:val="•"/>
        <w:legacy w:legacy="1" w:legacySpace="0" w:legacyIndent="182"/>
        <w:lvlJc w:val="left"/>
        <w:rPr>
          <w:rFonts w:ascii="Arial" w:hAnsi="Arial" w:cs="Arial" w:hint="default"/>
        </w:rPr>
      </w:lvl>
    </w:lvlOverride>
  </w:num>
  <w:num w:numId="14">
    <w:abstractNumId w:val="9"/>
  </w:num>
  <w:num w:numId="15">
    <w:abstractNumId w:val="0"/>
    <w:lvlOverride w:ilvl="0">
      <w:lvl w:ilvl="0">
        <w:start w:val="65535"/>
        <w:numFmt w:val="bullet"/>
        <w:lvlText w:val="•"/>
        <w:legacy w:legacy="1" w:legacySpace="0" w:legacyIndent="172"/>
        <w:lvlJc w:val="left"/>
        <w:rPr>
          <w:rFonts w:ascii="Arial" w:hAnsi="Arial" w:cs="Arial" w:hint="default"/>
        </w:rPr>
      </w:lvl>
    </w:lvlOverride>
  </w:num>
  <w:num w:numId="16">
    <w:abstractNumId w:val="3"/>
  </w:num>
  <w:num w:numId="17">
    <w:abstractNumId w:val="0"/>
    <w:lvlOverride w:ilvl="0">
      <w:lvl w:ilvl="0">
        <w:start w:val="65535"/>
        <w:numFmt w:val="bullet"/>
        <w:lvlText w:val="•"/>
        <w:legacy w:legacy="1" w:legacySpace="0" w:legacyIndent="178"/>
        <w:lvlJc w:val="left"/>
        <w:rPr>
          <w:rFonts w:ascii="Arial" w:hAnsi="Arial" w:cs="Arial" w:hint="default"/>
        </w:rPr>
      </w:lvl>
    </w:lvlOverride>
  </w:num>
  <w:num w:numId="18">
    <w:abstractNumId w:val="0"/>
    <w:lvlOverride w:ilvl="0">
      <w:lvl w:ilvl="0">
        <w:start w:val="65535"/>
        <w:numFmt w:val="bullet"/>
        <w:lvlText w:val="•"/>
        <w:legacy w:legacy="1" w:legacySpace="0" w:legacyIndent="173"/>
        <w:lvlJc w:val="left"/>
        <w:rPr>
          <w:rFonts w:ascii="Arial" w:hAnsi="Arial" w:cs="Arial" w:hint="default"/>
        </w:rPr>
      </w:lvl>
    </w:lvlOverride>
  </w:num>
  <w:num w:numId="19">
    <w:abstractNumId w:val="12"/>
  </w:num>
  <w:num w:numId="20">
    <w:abstractNumId w:val="5"/>
  </w:num>
  <w:num w:numId="21">
    <w:abstractNumId w:val="6"/>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2CB7"/>
    <w:rsid w:val="0001301C"/>
    <w:rsid w:val="00035BEA"/>
    <w:rsid w:val="00041E41"/>
    <w:rsid w:val="00045FD2"/>
    <w:rsid w:val="00054143"/>
    <w:rsid w:val="000543CB"/>
    <w:rsid w:val="0005489C"/>
    <w:rsid w:val="00066BB9"/>
    <w:rsid w:val="00087DA3"/>
    <w:rsid w:val="00091EFA"/>
    <w:rsid w:val="0009577B"/>
    <w:rsid w:val="000B0234"/>
    <w:rsid w:val="000E152A"/>
    <w:rsid w:val="000F325D"/>
    <w:rsid w:val="00100C7A"/>
    <w:rsid w:val="00101271"/>
    <w:rsid w:val="001209DA"/>
    <w:rsid w:val="001357CE"/>
    <w:rsid w:val="0014729D"/>
    <w:rsid w:val="00154740"/>
    <w:rsid w:val="00171850"/>
    <w:rsid w:val="00172EC8"/>
    <w:rsid w:val="001837F5"/>
    <w:rsid w:val="00183921"/>
    <w:rsid w:val="001A117F"/>
    <w:rsid w:val="001A150D"/>
    <w:rsid w:val="001E5778"/>
    <w:rsid w:val="001E727A"/>
    <w:rsid w:val="001F4A43"/>
    <w:rsid w:val="00254802"/>
    <w:rsid w:val="002609CD"/>
    <w:rsid w:val="00261CCF"/>
    <w:rsid w:val="002655E0"/>
    <w:rsid w:val="00284144"/>
    <w:rsid w:val="00295301"/>
    <w:rsid w:val="00295DB7"/>
    <w:rsid w:val="00296D89"/>
    <w:rsid w:val="002C0CFB"/>
    <w:rsid w:val="002E7C4F"/>
    <w:rsid w:val="002F3CF6"/>
    <w:rsid w:val="00314AAA"/>
    <w:rsid w:val="00316002"/>
    <w:rsid w:val="00323016"/>
    <w:rsid w:val="00337802"/>
    <w:rsid w:val="003479B1"/>
    <w:rsid w:val="00393657"/>
    <w:rsid w:val="003A58D0"/>
    <w:rsid w:val="003D305F"/>
    <w:rsid w:val="003D625C"/>
    <w:rsid w:val="003D64EE"/>
    <w:rsid w:val="003E4D93"/>
    <w:rsid w:val="003F47DA"/>
    <w:rsid w:val="0040576E"/>
    <w:rsid w:val="00414445"/>
    <w:rsid w:val="00416EC0"/>
    <w:rsid w:val="00435D31"/>
    <w:rsid w:val="004547E8"/>
    <w:rsid w:val="00455188"/>
    <w:rsid w:val="0045797C"/>
    <w:rsid w:val="004728A2"/>
    <w:rsid w:val="00487B7D"/>
    <w:rsid w:val="004B1C08"/>
    <w:rsid w:val="004C1903"/>
    <w:rsid w:val="004F2C1B"/>
    <w:rsid w:val="004F6F38"/>
    <w:rsid w:val="0050060D"/>
    <w:rsid w:val="005251DB"/>
    <w:rsid w:val="00550C4B"/>
    <w:rsid w:val="00561CBE"/>
    <w:rsid w:val="00572CB7"/>
    <w:rsid w:val="00590EC8"/>
    <w:rsid w:val="0059121F"/>
    <w:rsid w:val="005966CD"/>
    <w:rsid w:val="005B492F"/>
    <w:rsid w:val="005C7690"/>
    <w:rsid w:val="005E3C83"/>
    <w:rsid w:val="0060218B"/>
    <w:rsid w:val="006048A4"/>
    <w:rsid w:val="006105C1"/>
    <w:rsid w:val="0061206B"/>
    <w:rsid w:val="0062142D"/>
    <w:rsid w:val="0065437C"/>
    <w:rsid w:val="006554AD"/>
    <w:rsid w:val="0066431E"/>
    <w:rsid w:val="006713D9"/>
    <w:rsid w:val="006A31C8"/>
    <w:rsid w:val="006A5DE9"/>
    <w:rsid w:val="006B1E50"/>
    <w:rsid w:val="006C275D"/>
    <w:rsid w:val="006C6DAA"/>
    <w:rsid w:val="006E4F84"/>
    <w:rsid w:val="006F502B"/>
    <w:rsid w:val="007212B5"/>
    <w:rsid w:val="00722284"/>
    <w:rsid w:val="007737B7"/>
    <w:rsid w:val="0077764E"/>
    <w:rsid w:val="00791F66"/>
    <w:rsid w:val="007A7E67"/>
    <w:rsid w:val="007B1BA8"/>
    <w:rsid w:val="007C3B7A"/>
    <w:rsid w:val="007E3673"/>
    <w:rsid w:val="007E64BB"/>
    <w:rsid w:val="007F691A"/>
    <w:rsid w:val="0080338C"/>
    <w:rsid w:val="008036AE"/>
    <w:rsid w:val="008128F6"/>
    <w:rsid w:val="00814FF0"/>
    <w:rsid w:val="00815B06"/>
    <w:rsid w:val="00831252"/>
    <w:rsid w:val="0086280F"/>
    <w:rsid w:val="008638BC"/>
    <w:rsid w:val="008676FD"/>
    <w:rsid w:val="00890E7C"/>
    <w:rsid w:val="00891A39"/>
    <w:rsid w:val="008A2934"/>
    <w:rsid w:val="008A4CD5"/>
    <w:rsid w:val="008A57FF"/>
    <w:rsid w:val="008B47B3"/>
    <w:rsid w:val="008C0119"/>
    <w:rsid w:val="008C4447"/>
    <w:rsid w:val="008C5EAB"/>
    <w:rsid w:val="008D0A83"/>
    <w:rsid w:val="00900859"/>
    <w:rsid w:val="00906986"/>
    <w:rsid w:val="00912402"/>
    <w:rsid w:val="00921FA6"/>
    <w:rsid w:val="0092435C"/>
    <w:rsid w:val="00941285"/>
    <w:rsid w:val="00967249"/>
    <w:rsid w:val="0097289B"/>
    <w:rsid w:val="009774D3"/>
    <w:rsid w:val="00986D8E"/>
    <w:rsid w:val="009C0807"/>
    <w:rsid w:val="009E76E1"/>
    <w:rsid w:val="00A01D3E"/>
    <w:rsid w:val="00A20E23"/>
    <w:rsid w:val="00A366CB"/>
    <w:rsid w:val="00A6702E"/>
    <w:rsid w:val="00A86A22"/>
    <w:rsid w:val="00A93A60"/>
    <w:rsid w:val="00AA1814"/>
    <w:rsid w:val="00AB67AB"/>
    <w:rsid w:val="00AE3B10"/>
    <w:rsid w:val="00B04756"/>
    <w:rsid w:val="00B068DF"/>
    <w:rsid w:val="00B1483F"/>
    <w:rsid w:val="00B5159E"/>
    <w:rsid w:val="00B72C66"/>
    <w:rsid w:val="00BA5491"/>
    <w:rsid w:val="00BA5ADE"/>
    <w:rsid w:val="00BB620E"/>
    <w:rsid w:val="00BC57B2"/>
    <w:rsid w:val="00BD4810"/>
    <w:rsid w:val="00BD4820"/>
    <w:rsid w:val="00BD61F6"/>
    <w:rsid w:val="00C07222"/>
    <w:rsid w:val="00C07B85"/>
    <w:rsid w:val="00C234E5"/>
    <w:rsid w:val="00C46CD2"/>
    <w:rsid w:val="00CA5F24"/>
    <w:rsid w:val="00CB0EE9"/>
    <w:rsid w:val="00CB3B16"/>
    <w:rsid w:val="00CB5413"/>
    <w:rsid w:val="00CB676A"/>
    <w:rsid w:val="00CC14CF"/>
    <w:rsid w:val="00CE5269"/>
    <w:rsid w:val="00CF23C5"/>
    <w:rsid w:val="00D0393A"/>
    <w:rsid w:val="00D305A7"/>
    <w:rsid w:val="00D33789"/>
    <w:rsid w:val="00D44DC9"/>
    <w:rsid w:val="00D45540"/>
    <w:rsid w:val="00D52092"/>
    <w:rsid w:val="00D6223E"/>
    <w:rsid w:val="00D62ABD"/>
    <w:rsid w:val="00D66BDA"/>
    <w:rsid w:val="00DA7B15"/>
    <w:rsid w:val="00DB60BA"/>
    <w:rsid w:val="00DC717F"/>
    <w:rsid w:val="00DD3C38"/>
    <w:rsid w:val="00DF2BFA"/>
    <w:rsid w:val="00DF3598"/>
    <w:rsid w:val="00DF5CFF"/>
    <w:rsid w:val="00DF7CDF"/>
    <w:rsid w:val="00E04ED1"/>
    <w:rsid w:val="00E16CA9"/>
    <w:rsid w:val="00E274F1"/>
    <w:rsid w:val="00E326AD"/>
    <w:rsid w:val="00E547E0"/>
    <w:rsid w:val="00E63D80"/>
    <w:rsid w:val="00E6414F"/>
    <w:rsid w:val="00E65B5D"/>
    <w:rsid w:val="00E70974"/>
    <w:rsid w:val="00E85163"/>
    <w:rsid w:val="00EB304A"/>
    <w:rsid w:val="00EC02A0"/>
    <w:rsid w:val="00EF6648"/>
    <w:rsid w:val="00F13201"/>
    <w:rsid w:val="00F22D7B"/>
    <w:rsid w:val="00F621C2"/>
    <w:rsid w:val="00FB527F"/>
    <w:rsid w:val="00FB6E95"/>
    <w:rsid w:val="00FD29FF"/>
    <w:rsid w:val="00FD508F"/>
    <w:rsid w:val="00FE1D9F"/>
    <w:rsid w:val="00FE4CA4"/>
    <w:rsid w:val="00FE61CB"/>
    <w:rsid w:val="00FF10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B7"/>
    <w:pPr>
      <w:widowControl w:val="0"/>
      <w:autoSpaceDE w:val="0"/>
      <w:autoSpaceDN w:val="0"/>
      <w:adjustRightInd w:val="0"/>
      <w:spacing w:after="0" w:line="240" w:lineRule="auto"/>
    </w:pPr>
    <w:rPr>
      <w:rFonts w:ascii="Verdana" w:eastAsiaTheme="minorEastAsia" w:hAnsi="Verdana" w:cs="Verdan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6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F6648"/>
    <w:pPr>
      <w:ind w:left="720"/>
      <w:contextualSpacing/>
    </w:pPr>
  </w:style>
  <w:style w:type="paragraph" w:styleId="stbilgi">
    <w:name w:val="header"/>
    <w:basedOn w:val="Normal"/>
    <w:link w:val="stbilgiChar"/>
    <w:uiPriority w:val="99"/>
    <w:semiHidden/>
    <w:unhideWhenUsed/>
    <w:rsid w:val="007B1BA8"/>
    <w:pPr>
      <w:tabs>
        <w:tab w:val="center" w:pos="4536"/>
        <w:tab w:val="right" w:pos="9072"/>
      </w:tabs>
    </w:pPr>
  </w:style>
  <w:style w:type="character" w:customStyle="1" w:styleId="stbilgiChar">
    <w:name w:val="Üstbilgi Char"/>
    <w:basedOn w:val="VarsaylanParagrafYazTipi"/>
    <w:link w:val="stbilgi"/>
    <w:uiPriority w:val="99"/>
    <w:semiHidden/>
    <w:rsid w:val="007B1BA8"/>
    <w:rPr>
      <w:rFonts w:ascii="Verdana" w:eastAsiaTheme="minorEastAsia" w:hAnsi="Verdana" w:cs="Verdana"/>
      <w:sz w:val="20"/>
      <w:szCs w:val="20"/>
      <w:lang w:eastAsia="tr-TR"/>
    </w:rPr>
  </w:style>
  <w:style w:type="paragraph" w:styleId="Altbilgi">
    <w:name w:val="footer"/>
    <w:basedOn w:val="Normal"/>
    <w:link w:val="AltbilgiChar"/>
    <w:uiPriority w:val="99"/>
    <w:unhideWhenUsed/>
    <w:rsid w:val="007B1BA8"/>
    <w:pPr>
      <w:tabs>
        <w:tab w:val="center" w:pos="4536"/>
        <w:tab w:val="right" w:pos="9072"/>
      </w:tabs>
    </w:pPr>
  </w:style>
  <w:style w:type="character" w:customStyle="1" w:styleId="AltbilgiChar">
    <w:name w:val="Altbilgi Char"/>
    <w:basedOn w:val="VarsaylanParagrafYazTipi"/>
    <w:link w:val="Altbilgi"/>
    <w:uiPriority w:val="99"/>
    <w:rsid w:val="007B1BA8"/>
    <w:rPr>
      <w:rFonts w:ascii="Verdana" w:eastAsiaTheme="minorEastAsia" w:hAnsi="Verdana" w:cs="Verdana"/>
      <w:sz w:val="20"/>
      <w:szCs w:val="20"/>
      <w:lang w:eastAsia="tr-TR"/>
    </w:rPr>
  </w:style>
  <w:style w:type="paragraph" w:customStyle="1" w:styleId="Style5">
    <w:name w:val="Style5"/>
    <w:basedOn w:val="Normal"/>
    <w:uiPriority w:val="99"/>
    <w:rsid w:val="00171850"/>
    <w:pPr>
      <w:spacing w:line="389" w:lineRule="exact"/>
      <w:jc w:val="both"/>
    </w:pPr>
    <w:rPr>
      <w:rFonts w:ascii="Arial Unicode MS" w:eastAsia="Arial Unicode MS" w:hAnsi="Calibri" w:cs="Arial Unicode MS"/>
      <w:sz w:val="24"/>
      <w:szCs w:val="24"/>
    </w:rPr>
  </w:style>
</w:styles>
</file>

<file path=word/webSettings.xml><?xml version="1.0" encoding="utf-8"?>
<w:webSettings xmlns:r="http://schemas.openxmlformats.org/officeDocument/2006/relationships" xmlns:w="http://schemas.openxmlformats.org/wordprocessingml/2006/main">
  <w:divs>
    <w:div w:id="694235428">
      <w:bodyDiv w:val="1"/>
      <w:marLeft w:val="0"/>
      <w:marRight w:val="0"/>
      <w:marTop w:val="0"/>
      <w:marBottom w:val="0"/>
      <w:divBdr>
        <w:top w:val="none" w:sz="0" w:space="0" w:color="auto"/>
        <w:left w:val="none" w:sz="0" w:space="0" w:color="auto"/>
        <w:bottom w:val="none" w:sz="0" w:space="0" w:color="auto"/>
        <w:right w:val="none" w:sz="0" w:space="0" w:color="auto"/>
      </w:divBdr>
    </w:div>
    <w:div w:id="1292856380">
      <w:bodyDiv w:val="1"/>
      <w:marLeft w:val="0"/>
      <w:marRight w:val="0"/>
      <w:marTop w:val="0"/>
      <w:marBottom w:val="0"/>
      <w:divBdr>
        <w:top w:val="none" w:sz="0" w:space="0" w:color="auto"/>
        <w:left w:val="none" w:sz="0" w:space="0" w:color="auto"/>
        <w:bottom w:val="none" w:sz="0" w:space="0" w:color="auto"/>
        <w:right w:val="none" w:sz="0" w:space="0" w:color="auto"/>
      </w:divBdr>
    </w:div>
    <w:div w:id="13928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CA42-8351-4D31-86A1-25EAA2D6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4385</Words>
  <Characters>24998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esecgel</cp:lastModifiedBy>
  <cp:revision>6</cp:revision>
  <cp:lastPrinted>2013-12-04T13:50:00Z</cp:lastPrinted>
  <dcterms:created xsi:type="dcterms:W3CDTF">2013-08-22T08:08:00Z</dcterms:created>
  <dcterms:modified xsi:type="dcterms:W3CDTF">2015-02-04T08:30:00Z</dcterms:modified>
</cp:coreProperties>
</file>