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34" w:rsidRPr="00366F2E" w:rsidRDefault="00125DE2" w:rsidP="00D0761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 </w:t>
      </w:r>
      <w:r w:rsidR="00290134" w:rsidRPr="00366F2E">
        <w:rPr>
          <w:rFonts w:ascii="Times New Roman" w:hAnsi="Times New Roman"/>
          <w:b/>
          <w:sz w:val="24"/>
          <w:szCs w:val="24"/>
        </w:rPr>
        <w:t>KISA ÜRÜN BİLGİSİ</w:t>
      </w:r>
    </w:p>
    <w:p w:rsidR="00964C69" w:rsidRPr="00366F2E" w:rsidRDefault="00964C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290134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1. </w:t>
      </w:r>
      <w:r w:rsidRPr="00366F2E">
        <w:rPr>
          <w:rFonts w:ascii="Times New Roman" w:hAnsi="Times New Roman"/>
          <w:b/>
          <w:sz w:val="24"/>
          <w:szCs w:val="24"/>
        </w:rPr>
        <w:tab/>
        <w:t>BEŞERİ TIBBİ ÜRÜNÜN ADI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LAROXYL </w:t>
      </w:r>
      <w:r w:rsidR="0011321E" w:rsidRPr="00366F2E">
        <w:rPr>
          <w:rFonts w:ascii="Times New Roman" w:hAnsi="Times New Roman"/>
          <w:sz w:val="24"/>
          <w:szCs w:val="24"/>
        </w:rPr>
        <w:t>25</w:t>
      </w:r>
      <w:r w:rsidRPr="00366F2E">
        <w:rPr>
          <w:rFonts w:ascii="Times New Roman" w:hAnsi="Times New Roman"/>
          <w:sz w:val="24"/>
          <w:szCs w:val="24"/>
        </w:rPr>
        <w:t xml:space="preserve"> mg draje</w:t>
      </w:r>
    </w:p>
    <w:p w:rsidR="00964C69" w:rsidRPr="00366F2E" w:rsidRDefault="00964C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2. </w:t>
      </w:r>
      <w:r w:rsidRPr="00366F2E">
        <w:rPr>
          <w:rFonts w:ascii="Times New Roman" w:hAnsi="Times New Roman"/>
          <w:b/>
          <w:sz w:val="24"/>
          <w:szCs w:val="24"/>
        </w:rPr>
        <w:tab/>
        <w:t>KALİTATİF VE KANTİTATİF BİLEŞİM</w:t>
      </w:r>
    </w:p>
    <w:p w:rsidR="00964C69" w:rsidRPr="00366F2E" w:rsidRDefault="004A0111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b/>
          <w:spacing w:val="-2"/>
          <w:sz w:val="24"/>
          <w:szCs w:val="24"/>
        </w:rPr>
        <w:t>Etkin madde: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25.0</w:t>
      </w:r>
      <w:r w:rsidR="0048506B" w:rsidRPr="00366F2E">
        <w:rPr>
          <w:rFonts w:ascii="Times New Roman" w:hAnsi="Times New Roman"/>
          <w:spacing w:val="-2"/>
          <w:sz w:val="24"/>
          <w:szCs w:val="24"/>
        </w:rPr>
        <w:t xml:space="preserve"> mg </w:t>
      </w:r>
      <w:proofErr w:type="spellStart"/>
      <w:r w:rsidR="0048506B" w:rsidRPr="00366F2E">
        <w:rPr>
          <w:rFonts w:ascii="Times New Roman" w:hAnsi="Times New Roman"/>
          <w:spacing w:val="-2"/>
          <w:sz w:val="24"/>
          <w:szCs w:val="24"/>
        </w:rPr>
        <w:t>amitriptiline</w:t>
      </w:r>
      <w:proofErr w:type="spellEnd"/>
      <w:r w:rsidR="0048506B" w:rsidRPr="00366F2E">
        <w:rPr>
          <w:rFonts w:ascii="Times New Roman" w:hAnsi="Times New Roman"/>
          <w:spacing w:val="-2"/>
          <w:sz w:val="24"/>
          <w:szCs w:val="24"/>
        </w:rPr>
        <w:t xml:space="preserve"> eşdeğer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8506B" w:rsidRPr="00366F2E">
        <w:rPr>
          <w:rFonts w:ascii="Times New Roman" w:hAnsi="Times New Roman"/>
          <w:spacing w:val="-2"/>
          <w:sz w:val="24"/>
          <w:szCs w:val="24"/>
        </w:rPr>
        <w:t>28.30</w:t>
      </w:r>
      <w:r w:rsidR="00D71469"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48506B"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="0048506B"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48506B" w:rsidRPr="00366F2E">
        <w:rPr>
          <w:rFonts w:ascii="Times New Roman" w:hAnsi="Times New Roman"/>
          <w:spacing w:val="-2"/>
          <w:sz w:val="24"/>
          <w:szCs w:val="24"/>
        </w:rPr>
        <w:t>hidroklorür</w:t>
      </w:r>
      <w:proofErr w:type="spellEnd"/>
    </w:p>
    <w:p w:rsidR="002E4475" w:rsidRPr="00366F2E" w:rsidRDefault="0048506B" w:rsidP="002E4475">
      <w:pPr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/>
          <w:b/>
          <w:spacing w:val="-2"/>
          <w:sz w:val="24"/>
          <w:szCs w:val="24"/>
        </w:rPr>
        <w:t>Yardımcı maddeler</w:t>
      </w:r>
      <w:r w:rsidR="00290134" w:rsidRPr="00366F2E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2E4475" w:rsidRPr="00366F2E" w:rsidRDefault="0048506B" w:rsidP="002E4475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Laktoz</w:t>
      </w:r>
      <w:r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pacing w:val="-2"/>
          <w:sz w:val="24"/>
          <w:szCs w:val="24"/>
        </w:rPr>
        <w:tab/>
        <w:t>43.7</w:t>
      </w:r>
      <w:r w:rsidR="00125DE2" w:rsidRPr="00366F2E">
        <w:rPr>
          <w:rFonts w:ascii="Times New Roman" w:hAnsi="Times New Roman"/>
          <w:spacing w:val="-2"/>
          <w:sz w:val="24"/>
          <w:szCs w:val="24"/>
        </w:rPr>
        <w:t>00</w:t>
      </w:r>
      <w:r w:rsidRPr="00366F2E">
        <w:rPr>
          <w:rFonts w:ascii="Times New Roman" w:hAnsi="Times New Roman"/>
          <w:spacing w:val="-2"/>
          <w:sz w:val="24"/>
          <w:szCs w:val="24"/>
        </w:rPr>
        <w:t>0 mg</w:t>
      </w:r>
    </w:p>
    <w:p w:rsidR="002E4475" w:rsidRPr="00366F2E" w:rsidRDefault="0048506B" w:rsidP="002E447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Şeker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z w:val="24"/>
          <w:szCs w:val="24"/>
        </w:rPr>
        <w:t>84.95</w:t>
      </w:r>
      <w:r w:rsidR="00125DE2" w:rsidRPr="00366F2E">
        <w:rPr>
          <w:rFonts w:ascii="Times New Roman" w:hAnsi="Times New Roman"/>
          <w:sz w:val="24"/>
          <w:szCs w:val="24"/>
        </w:rPr>
        <w:t>46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 xml:space="preserve"> mg</w:t>
      </w:r>
    </w:p>
    <w:p w:rsidR="002E4475" w:rsidRPr="00366F2E" w:rsidRDefault="0048506B" w:rsidP="002E447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Karboksimetilselüloz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sodyum 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  <w:t>0.0</w:t>
      </w:r>
      <w:r w:rsidRPr="00366F2E">
        <w:rPr>
          <w:rFonts w:ascii="Times New Roman" w:hAnsi="Times New Roman"/>
          <w:spacing w:val="-2"/>
          <w:sz w:val="24"/>
          <w:szCs w:val="24"/>
        </w:rPr>
        <w:t>192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 xml:space="preserve"> mg</w:t>
      </w:r>
    </w:p>
    <w:p w:rsidR="002E4475" w:rsidRPr="00366F2E" w:rsidRDefault="0048506B" w:rsidP="002E447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Gliserol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triasetat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ab/>
      </w:r>
      <w:r w:rsidRPr="00366F2E">
        <w:rPr>
          <w:rFonts w:ascii="Times New Roman" w:hAnsi="Times New Roman"/>
          <w:spacing w:val="-2"/>
          <w:sz w:val="24"/>
          <w:szCs w:val="24"/>
        </w:rPr>
        <w:t>0.3456</w:t>
      </w:r>
      <w:r w:rsidR="004A0111" w:rsidRPr="00366F2E">
        <w:rPr>
          <w:rFonts w:ascii="Times New Roman" w:hAnsi="Times New Roman"/>
          <w:spacing w:val="-2"/>
          <w:sz w:val="24"/>
          <w:szCs w:val="24"/>
        </w:rPr>
        <w:t xml:space="preserve"> mg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Diğer yard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mc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 maddeler için 6.1’e bak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z.</w:t>
      </w:r>
    </w:p>
    <w:p w:rsidR="00964C69" w:rsidRPr="00366F2E" w:rsidRDefault="00964C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290134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3.</w:t>
      </w:r>
      <w:r w:rsidRPr="00366F2E">
        <w:rPr>
          <w:rFonts w:ascii="Times New Roman" w:hAnsi="Times New Roman"/>
          <w:b/>
          <w:sz w:val="24"/>
          <w:szCs w:val="24"/>
        </w:rPr>
        <w:tab/>
        <w:t>FARMASÖTİK FORM</w:t>
      </w:r>
      <w:r w:rsidRPr="00366F2E">
        <w:rPr>
          <w:rFonts w:ascii="Times New Roman" w:hAnsi="Times New Roman"/>
          <w:b/>
          <w:sz w:val="24"/>
          <w:szCs w:val="24"/>
        </w:rPr>
        <w:tab/>
      </w: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Draje.</w:t>
      </w:r>
      <w:r w:rsidRPr="00366F2E">
        <w:rPr>
          <w:rFonts w:ascii="Times New Roman" w:hAnsi="Times New Roman"/>
          <w:sz w:val="24"/>
          <w:szCs w:val="24"/>
        </w:rPr>
        <w:tab/>
      </w:r>
    </w:p>
    <w:p w:rsidR="00964C69" w:rsidRPr="00366F2E" w:rsidRDefault="0048506B" w:rsidP="00125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Yuvarlak, iki yüzü dışbükey, kokusuzla </w:t>
      </w:r>
      <w:r w:rsidR="00125DE2" w:rsidRPr="00366F2E">
        <w:rPr>
          <w:rFonts w:ascii="Times New Roman" w:hAnsi="Times New Roman"/>
          <w:sz w:val="24"/>
          <w:szCs w:val="24"/>
        </w:rPr>
        <w:t xml:space="preserve">hafif </w:t>
      </w:r>
      <w:r w:rsidRPr="00366F2E">
        <w:rPr>
          <w:rFonts w:ascii="Times New Roman" w:hAnsi="Times New Roman"/>
          <w:sz w:val="24"/>
          <w:szCs w:val="24"/>
        </w:rPr>
        <w:t>kokulu arası kırmızımsı draje</w:t>
      </w:r>
    </w:p>
    <w:p w:rsidR="00964C69" w:rsidRPr="00366F2E" w:rsidRDefault="00964C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290134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4. </w:t>
      </w:r>
      <w:r w:rsidRPr="00366F2E">
        <w:rPr>
          <w:rFonts w:ascii="Times New Roman" w:hAnsi="Times New Roman"/>
          <w:b/>
          <w:sz w:val="24"/>
          <w:szCs w:val="24"/>
        </w:rPr>
        <w:tab/>
        <w:t>KLİNİK ÖZELLİKLER</w:t>
      </w:r>
    </w:p>
    <w:p w:rsidR="00964C69" w:rsidRPr="00366F2E" w:rsidRDefault="005E40C5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4.1. </w:t>
      </w:r>
      <w:r w:rsidRPr="00366F2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366F2E">
        <w:rPr>
          <w:rFonts w:ascii="Times New Roman" w:hAnsi="Times New Roman"/>
          <w:b/>
          <w:sz w:val="24"/>
          <w:szCs w:val="24"/>
        </w:rPr>
        <w:t>Terapötik</w:t>
      </w:r>
      <w:proofErr w:type="spellEnd"/>
      <w:r w:rsidRPr="00366F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b/>
          <w:sz w:val="24"/>
          <w:szCs w:val="24"/>
        </w:rPr>
        <w:t>endikasyonlar</w:t>
      </w:r>
      <w:proofErr w:type="spellEnd"/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depresyon belirtilerinin giderilmesinde, özellikle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endojen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depresyonun tedavisinde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</w:t>
      </w:r>
    </w:p>
    <w:p w:rsidR="00964C69" w:rsidRPr="00366F2E" w:rsidRDefault="00964C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29013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4.2. </w:t>
      </w:r>
      <w:proofErr w:type="spellStart"/>
      <w:r w:rsidRPr="00366F2E">
        <w:rPr>
          <w:rFonts w:ascii="Times New Roman" w:hAnsi="Times New Roman"/>
          <w:b/>
          <w:sz w:val="24"/>
          <w:szCs w:val="24"/>
        </w:rPr>
        <w:t>Pozoloji</w:t>
      </w:r>
      <w:proofErr w:type="spellEnd"/>
      <w:r w:rsidRPr="00366F2E">
        <w:rPr>
          <w:rFonts w:ascii="Times New Roman" w:hAnsi="Times New Roman"/>
          <w:b/>
          <w:sz w:val="24"/>
          <w:szCs w:val="24"/>
        </w:rPr>
        <w:t xml:space="preserve"> ve uygulama şekli</w:t>
      </w:r>
    </w:p>
    <w:p w:rsidR="00964C69" w:rsidRPr="00366F2E" w:rsidRDefault="0029013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66F2E">
        <w:rPr>
          <w:rFonts w:ascii="Times New Roman" w:hAnsi="Times New Roman"/>
          <w:b/>
          <w:sz w:val="24"/>
          <w:szCs w:val="24"/>
        </w:rPr>
        <w:t>Pozoloji</w:t>
      </w:r>
      <w:proofErr w:type="spellEnd"/>
      <w:r w:rsidRPr="00366F2E">
        <w:rPr>
          <w:rFonts w:ascii="Times New Roman" w:hAnsi="Times New Roman"/>
          <w:b/>
          <w:sz w:val="24"/>
          <w:szCs w:val="24"/>
        </w:rPr>
        <w:t>/uygulama s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ığı</w:t>
      </w:r>
      <w:r w:rsidRPr="00366F2E">
        <w:rPr>
          <w:rFonts w:ascii="Times New Roman" w:hAnsi="Times New Roman"/>
          <w:b/>
          <w:sz w:val="24"/>
          <w:szCs w:val="24"/>
        </w:rPr>
        <w:t xml:space="preserve"> ve süresi:</w:t>
      </w:r>
    </w:p>
    <w:p w:rsidR="00964C69" w:rsidRPr="00366F2E" w:rsidRDefault="0048506B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Doktor tarafından başka şekilde tavsiye edilmediği takdirde;</w:t>
      </w:r>
    </w:p>
    <w:p w:rsidR="00964C69" w:rsidRPr="00366F2E" w:rsidRDefault="0048506B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Yetişkinler: </w:t>
      </w:r>
    </w:p>
    <w:p w:rsidR="00964C69" w:rsidRPr="00366F2E" w:rsidRDefault="0048506B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Önerilen başlangıç dozu günde üç kez bir draje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(10 mg veya 25 mg)’dır. Gerekli olduğunda istenilen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terapötik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yanıt alınana kadar, doz kademeli olarak artırılabilir. </w:t>
      </w:r>
    </w:p>
    <w:p w:rsidR="00964C69" w:rsidRPr="00366F2E" w:rsidRDefault="0048506B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İdame dozu genellikle, günde 2-4 draje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(25 mg)’dır. İdame tedavisinde verilecek miktar tek doz halinde ve tercihen akşamları ya da yatmadan hemen önce verilebilir. Nadir </w:t>
      </w: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olarak günlük dozun 150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mg'ı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aşması gerekebilir</w:t>
      </w:r>
      <w:r w:rsidR="00D07619" w:rsidRPr="00366F2E">
        <w:rPr>
          <w:rFonts w:ascii="Times New Roman" w:hAnsi="Times New Roman"/>
          <w:spacing w:val="-2"/>
          <w:sz w:val="24"/>
          <w:szCs w:val="24"/>
        </w:rPr>
        <w:t>;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ancak bununla birlikte,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hospitalize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hastalarda dozun 300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mg'a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kadar yükseltilmesi bazen gerekli olabilir.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Adolesan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yaşlılar, 25-50 mg günlük bölünmüş doz veya akşamları tek doz almalıdır.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Uygulama şekli: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drajeler ağız yoluyla alınır.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Özel popülasyonlara ilişkin ek bilgiler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Böbrek/Karaciğer yetmezliği: </w:t>
      </w:r>
      <w:proofErr w:type="spellStart"/>
      <w:r w:rsidRPr="00366F2E">
        <w:rPr>
          <w:rFonts w:ascii="Times New Roman" w:hAnsi="Times New Roman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, karaciğer fonksiyonu bozulan hastalarda dikkatli kullanılmalıdır.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Böbrek hastaların özel olarak doz ayarlaması gerekmemektedir.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Pediyatrik popülasyon: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, 12 yaşından küçük hastalarda kullanımı önerilmemektedir.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b/>
          <w:sz w:val="24"/>
          <w:szCs w:val="24"/>
        </w:rPr>
        <w:t>Geriyatrik</w:t>
      </w:r>
      <w:proofErr w:type="spellEnd"/>
      <w:r w:rsidRPr="00366F2E">
        <w:rPr>
          <w:rFonts w:ascii="Times New Roman" w:hAnsi="Times New Roman"/>
          <w:b/>
          <w:sz w:val="24"/>
          <w:szCs w:val="24"/>
        </w:rPr>
        <w:t xml:space="preserve"> popülasyon: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Etkisine karşı daha fazla duyarlılık bulunması olasılığı yüzünden,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Laroxyl'e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yaşlı hastalarda her zaman daha düşük dozlarla başlanmalıdır. Yaşlı hastalarda ve hafif depresyon vakalarında önerilen başlangıç dozu günde üç kez 10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mg'dır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 Bu hastalarda normal dozun yarısı idame dozu olarak yeterli olabilmektedir. İdame tedavisi için toplam doz, bir kerede ve tercihen akşamları ya da yatmadan hemen önce verilebilir.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4.3. </w:t>
      </w:r>
      <w:proofErr w:type="spellStart"/>
      <w:r w:rsidRPr="00366F2E">
        <w:rPr>
          <w:rFonts w:ascii="Times New Roman" w:hAnsi="Times New Roman"/>
          <w:b/>
          <w:sz w:val="24"/>
          <w:szCs w:val="24"/>
        </w:rPr>
        <w:t>Kontrendikasyonlar</w:t>
      </w:r>
      <w:proofErr w:type="spellEnd"/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tabletde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bulunan yardımcı maddelere karşı bilinen aşırı duyarlılığı olan hastalar. 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Yakın zaman önce geçirilmiş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miyokard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enfarktüsü; her düzeydeki kalp blokları; kardiyak aritmiler,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konjestif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kalp yetmezliği, koroner arter yetersizliği.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kullanımıyla durumunun ağırlaşabileceği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manik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hastalar. 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etkileri nedeniyle de dar açılı glokom vakalarında veya prostat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hipertrofisini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düşündürecek semptomları olan hastalarda kullanılmamalıdır. 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monoamino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oksidaz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inhibitörleriyle birlikte verilmemelidir.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Monoamino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oksidaz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inhibitörleriyle tedavi gören hastalarda,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monoamino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oksidaz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inhibitörlerinin kesilmesinden sonra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tedavisinin başlanmasına kadar iki haftalık bir ara bırakılmalıdır.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Laroxyl'in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başlangıç dozu düşük olmalı ve aşamalı olarak artırılmalıdır. 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ilacın içerdiği diğer yardımcı maddelerden herhangi birine karşı aşırı duyarlılığı olduğu bilinen hastalarda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kullanımı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kontrendikedir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Gebelik ve emzirmede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kontrendikedir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Ciddi karaciğer hastalığı olanlarda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kontrendikedir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</w:t>
      </w:r>
    </w:p>
    <w:p w:rsidR="003D6FE0" w:rsidRPr="00366F2E" w:rsidRDefault="003D6FE0" w:rsidP="003D6FE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4.4. </w:t>
      </w:r>
      <w:r w:rsidRPr="00366F2E">
        <w:rPr>
          <w:rFonts w:ascii="Times New Roman" w:hAnsi="Times New Roman"/>
          <w:b/>
          <w:sz w:val="24"/>
          <w:szCs w:val="24"/>
        </w:rPr>
        <w:tab/>
        <w:t>Özel kullanım uyarıları ve önlemleri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Yaşlılar, özellikle ajitasyon,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konfüzyon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postural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hipotansiyon gibi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advers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reaksiyonlara daha eğilimlidirler.</w:t>
      </w:r>
    </w:p>
    <w:p w:rsidR="003D6FE0" w:rsidRPr="00366F2E" w:rsidRDefault="003D6FE0" w:rsidP="003D6FE0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Yüksek dozlarda veya kalp rahatsızlığı olan hastalarda kardiyak aritmiler ve ciddi hipotansiyon oluşabilir.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Genç, yaşlı veya halsiz hastalarda ve kronik böbrek veya karaciğer hastalığı bulunanlarda dozların değiştirilmesi gerekebilir.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Prostatik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hipertrofi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üriner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retansiyon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hipertiroidizm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kan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diskrazisi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öyküsü olan hastalara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verilirken dikkatli olunmalıdır.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alan hastalar düzenli gözlem altında tutulmalı,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serebral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kardiyak fonksiyon üzerindeki etkilerine özel bir dikkat gösterilmelidir.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OLE_LINK1"/>
      <w:r w:rsidRPr="00366F2E">
        <w:rPr>
          <w:rFonts w:ascii="Times New Roman" w:hAnsi="Times New Roman"/>
          <w:sz w:val="24"/>
          <w:szCs w:val="24"/>
        </w:rPr>
        <w:t xml:space="preserve">Uzun QT sendromu veya </w:t>
      </w:r>
      <w:proofErr w:type="spellStart"/>
      <w:r w:rsidRPr="00366F2E">
        <w:rPr>
          <w:rFonts w:ascii="Times New Roman" w:hAnsi="Times New Roman"/>
          <w:sz w:val="24"/>
          <w:szCs w:val="24"/>
        </w:rPr>
        <w:t>Torsades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66F2E">
        <w:rPr>
          <w:rFonts w:ascii="Times New Roman" w:hAnsi="Times New Roman"/>
          <w:sz w:val="24"/>
          <w:szCs w:val="24"/>
        </w:rPr>
        <w:t>Pointes’e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neden olabilen ilaçlar ile birlikte kullanıldığında, uzun QT sendromu/</w:t>
      </w:r>
      <w:proofErr w:type="spellStart"/>
      <w:r w:rsidRPr="00366F2E">
        <w:rPr>
          <w:rFonts w:ascii="Times New Roman" w:hAnsi="Times New Roman"/>
          <w:sz w:val="24"/>
          <w:szCs w:val="24"/>
        </w:rPr>
        <w:t>Torsades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66F2E">
        <w:rPr>
          <w:rFonts w:ascii="Times New Roman" w:hAnsi="Times New Roman"/>
          <w:sz w:val="24"/>
          <w:szCs w:val="24"/>
        </w:rPr>
        <w:t>Pointes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oluşma riskini arttırabilir. yükseltebilir. Bu nedenle bu tür ilaçlarla birlikte kullanılmamalıdır.</w:t>
      </w:r>
      <w:bookmarkEnd w:id="0"/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şizofreninin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depresif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durumları için kullanıldığında,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psikotik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semptomları şiddetlendirebileceği için, dikkatle kullanılmalıdır.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Manik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depresiflerde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manik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faza kayma görülebilir.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Hostilitenin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eşlik ettiği veya etmediği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paranoid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delüzyonlar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alevlenebilir. Bu tür vakalarda, aynı zamanda majör sakinleştirici verilmelidir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amitiriptilin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dozu azaltılmalıdır.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Gerekli olmadığı sürece,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amitiriptilin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elektrokonvülsif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tedavinin (ECT) kombine edilmesi tavsiye edilmez.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Epilepsi öyküsü veya geçirilmiş yeni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konvülsiyon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öyküsü olan hastalara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verilmemelidir.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nöroleptikler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trankilizanlar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hipnotikler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analjezikler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anestezikler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gibi santral etkili ilaçlarla birlikte verilirse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sedatif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etkisi artabilir.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Hastalara ayrıca, alkolün herhangi bir bozukluğu artırabileceği ve bu nedenle tedavi sırasında kullanılmaması gerektiği de söylenmelidir.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tedavisi sırasında verilen anestezi aritmi ve hipotansiyon riskini artırabilir. Eğer anestezi gerekliyse, anesteziste hastanın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tedavi görmekte olduğu söylenmelidir.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guanetidin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betanidin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debrizokin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Declinax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) gibi adrenerjik nöron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blokerlerinin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muhtemelen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klonidinin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antihipertansif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etkilerini azaltabilir.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tedavisi sırasında tüm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antihipertansif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tedavinin gözden geçirilmesi tavsiye edilir.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Mümkünse,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ameliyattan günler önce kesilmelidir. Acil ameliyat kaçınılmazsa, hastanın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tedavi gördüğü bilgisi anesteziste verilmelidir.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Tiroid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ilaçları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hipertiroid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hastaları)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ilaçlar alan hastalar yakından izlenmelidir.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adrenalin,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efedrin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izoprenalin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noradrenalin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fenilefrin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fenilpropanolamin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gibi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sempatomimetik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ajanlarla birlikte verilmemelidir. 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Barbitüratlar,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etkisini azaltabilir,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metilfenidat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ise artırabilir. Depresyondaki hastalarda intihar olasılığı bulunduğu akılda tutulmalıdır ve özellikle tedavinin erken dönemlerinde hastalar dikkatle gözlenmelidirler.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ani olarak kesildiğinde yoksunluk semptomlarının ortaya çıktığı bilinmektedir. Bu nedenle, uzun süreli kullanımdan sonra, özellikle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yüksek dozda verilmişse yavaş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yavaş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azaltarak kesilmelidir. Duyarlı kişilerde aşırı duyarlılık reaksiyonları gelişebilir.</w:t>
      </w:r>
    </w:p>
    <w:p w:rsidR="003D6FE0" w:rsidRPr="00366F2E" w:rsidRDefault="003D6FE0" w:rsidP="003D6FE0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Eğer mümkünse dar açılı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glokomalı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karaciğer yetersizliği olan kan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diskriazisli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prostatik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hipertrofi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semptomlu hastalara verilmesinden kaçınılmalıdır.</w:t>
      </w:r>
    </w:p>
    <w:p w:rsidR="003D6FE0" w:rsidRPr="00366F2E" w:rsidRDefault="003D6FE0" w:rsidP="003D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ilaçların özellikle çocuklar ve 24 yaşına kadar olan gençlerdeki kullanımlarının intihar düşünce ya da davranışlarını arttırma olasılığı bulunmaktadır. Bu nedenle özellikle tedavinin başlangıcı ve ilk aylarında, ilaç dozunun arttırılma/azaltılma ya da kesilme dönemlerinde hastanın gösterebileceği huzursuzluk, aşırı hareketlilik gibi beklenmedik davranış değişiklikleri ya da intihar olasılığı gibi nedenlerle hastanın gerek ailesi gerekse tedavi edicilerce yakından izlenmesi gereklidir.</w:t>
      </w:r>
    </w:p>
    <w:p w:rsidR="003D6FE0" w:rsidRPr="00366F2E" w:rsidRDefault="003D6FE0" w:rsidP="003D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depresyon belirtilerinin giderilmesinde, özellikle </w:t>
      </w:r>
      <w:proofErr w:type="spellStart"/>
      <w:r w:rsidRPr="00366F2E">
        <w:rPr>
          <w:rFonts w:ascii="Times New Roman" w:hAnsi="Times New Roman"/>
          <w:sz w:val="24"/>
          <w:szCs w:val="24"/>
        </w:rPr>
        <w:t>endojen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depresyonun tedavisinde kullanılır. </w:t>
      </w:r>
      <w:proofErr w:type="spellStart"/>
      <w:r w:rsidRPr="00366F2E">
        <w:rPr>
          <w:rFonts w:ascii="Times New Roman" w:hAnsi="Times New Roman"/>
          <w:sz w:val="24"/>
          <w:szCs w:val="24"/>
        </w:rPr>
        <w:t>Laroxyl’in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pediyatrik hastalarda kullanımı yoktur.</w:t>
      </w:r>
    </w:p>
    <w:p w:rsidR="003D6FE0" w:rsidRPr="00366F2E" w:rsidRDefault="003D6FE0" w:rsidP="003D6FE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Her bir </w:t>
      </w:r>
      <w:proofErr w:type="spellStart"/>
      <w:r w:rsidRPr="00366F2E">
        <w:rPr>
          <w:rFonts w:ascii="Times New Roman" w:hAnsi="Times New Roman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draje </w:t>
      </w:r>
      <w:r w:rsidR="00125DE2" w:rsidRPr="00366F2E">
        <w:rPr>
          <w:rFonts w:ascii="Times New Roman" w:hAnsi="Times New Roman"/>
          <w:spacing w:val="-2"/>
          <w:sz w:val="24"/>
          <w:szCs w:val="24"/>
        </w:rPr>
        <w:t>43.70</w:t>
      </w:r>
      <w:r w:rsidRPr="00366F2E">
        <w:rPr>
          <w:rFonts w:ascii="Times New Roman" w:hAnsi="Times New Roman"/>
          <w:sz w:val="24"/>
          <w:szCs w:val="24"/>
        </w:rPr>
        <w:t xml:space="preserve"> mg laktoz içermektedir. </w:t>
      </w:r>
    </w:p>
    <w:p w:rsidR="003D6FE0" w:rsidRPr="00366F2E" w:rsidRDefault="003D6FE0" w:rsidP="003D6FE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Nadir kal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t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msal </w:t>
      </w:r>
      <w:proofErr w:type="spellStart"/>
      <w:r w:rsidRPr="00366F2E">
        <w:rPr>
          <w:rFonts w:ascii="Times New Roman" w:hAnsi="Times New Roman"/>
          <w:sz w:val="24"/>
          <w:szCs w:val="24"/>
        </w:rPr>
        <w:t>galaktoz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z w:val="24"/>
          <w:szCs w:val="24"/>
        </w:rPr>
        <w:t>intolerans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z w:val="24"/>
          <w:szCs w:val="24"/>
        </w:rPr>
        <w:t>Lapp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laktoz yetmezli</w:t>
      </w:r>
      <w:r w:rsidRPr="00366F2E">
        <w:rPr>
          <w:rFonts w:ascii="Times New Roman" w:hAnsi="Times New Roman" w:hint="eastAsia"/>
          <w:sz w:val="24"/>
          <w:szCs w:val="24"/>
        </w:rPr>
        <w:t>ğ</w:t>
      </w:r>
      <w:r w:rsidRPr="00366F2E">
        <w:rPr>
          <w:rFonts w:ascii="Times New Roman" w:hAnsi="Times New Roman"/>
          <w:sz w:val="24"/>
          <w:szCs w:val="24"/>
        </w:rPr>
        <w:t>i ya da glikoz-</w:t>
      </w:r>
      <w:proofErr w:type="spellStart"/>
      <w:r w:rsidRPr="00366F2E">
        <w:rPr>
          <w:rFonts w:ascii="Times New Roman" w:hAnsi="Times New Roman"/>
          <w:sz w:val="24"/>
          <w:szCs w:val="24"/>
        </w:rPr>
        <w:t>galaktoz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z w:val="24"/>
          <w:szCs w:val="24"/>
        </w:rPr>
        <w:t>malabsorpsiyon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problemi olan hastalar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 bu ilac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 kullanmamalar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 gerekir.</w:t>
      </w:r>
    </w:p>
    <w:p w:rsidR="003D6FE0" w:rsidRPr="00366F2E" w:rsidRDefault="003D6FE0" w:rsidP="003D6FE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lastRenderedPageBreak/>
        <w:t xml:space="preserve">Bu tıbbi ürün her dozunda </w:t>
      </w:r>
      <w:r w:rsidR="00125DE2" w:rsidRPr="00366F2E">
        <w:rPr>
          <w:rFonts w:ascii="Times New Roman" w:hAnsi="Times New Roman"/>
          <w:spacing w:val="-2"/>
          <w:sz w:val="24"/>
          <w:szCs w:val="24"/>
        </w:rPr>
        <w:t>0.3456</w:t>
      </w:r>
      <w:r w:rsidRPr="00366F2E">
        <w:rPr>
          <w:rFonts w:ascii="Times New Roman" w:hAnsi="Times New Roman"/>
          <w:sz w:val="24"/>
          <w:szCs w:val="24"/>
        </w:rPr>
        <w:t xml:space="preserve"> mg </w:t>
      </w:r>
      <w:proofErr w:type="spellStart"/>
      <w:r w:rsidRPr="00366F2E">
        <w:rPr>
          <w:rFonts w:ascii="Times New Roman" w:hAnsi="Times New Roman"/>
          <w:sz w:val="24"/>
          <w:szCs w:val="24"/>
        </w:rPr>
        <w:t>gliserol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z w:val="24"/>
          <w:szCs w:val="24"/>
        </w:rPr>
        <w:t>triasetat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, </w:t>
      </w:r>
      <w:r w:rsidR="00125DE2" w:rsidRPr="00366F2E">
        <w:rPr>
          <w:rFonts w:ascii="Times New Roman" w:hAnsi="Times New Roman"/>
          <w:spacing w:val="-2"/>
          <w:sz w:val="24"/>
          <w:szCs w:val="24"/>
        </w:rPr>
        <w:t>0.0192</w:t>
      </w:r>
      <w:r w:rsidRPr="00366F2E">
        <w:rPr>
          <w:rFonts w:ascii="Times New Roman" w:hAnsi="Times New Roman"/>
          <w:sz w:val="24"/>
          <w:szCs w:val="24"/>
        </w:rPr>
        <w:t xml:space="preserve"> mg </w:t>
      </w:r>
      <w:proofErr w:type="spellStart"/>
      <w:r w:rsidRPr="00366F2E">
        <w:rPr>
          <w:rFonts w:ascii="Times New Roman" w:hAnsi="Times New Roman"/>
          <w:sz w:val="24"/>
          <w:szCs w:val="24"/>
        </w:rPr>
        <w:t>karboksimetilselüloz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sodyum içermektedir. Bu maddelere kar</w:t>
      </w:r>
      <w:r w:rsidRPr="00366F2E">
        <w:rPr>
          <w:rFonts w:ascii="Times New Roman" w:hAnsi="Times New Roman" w:hint="eastAsia"/>
          <w:sz w:val="24"/>
          <w:szCs w:val="24"/>
        </w:rPr>
        <w:t>şı</w:t>
      </w:r>
      <w:r w:rsidRPr="00366F2E">
        <w:rPr>
          <w:rFonts w:ascii="Times New Roman" w:hAnsi="Times New Roman"/>
          <w:sz w:val="24"/>
          <w:szCs w:val="24"/>
        </w:rPr>
        <w:t xml:space="preserve"> herhangi bir etki beklenmez.</w:t>
      </w:r>
    </w:p>
    <w:p w:rsidR="003D6FE0" w:rsidRPr="00366F2E" w:rsidRDefault="003D6FE0" w:rsidP="003D6FE0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Bu tıbbi ürün her dozunda </w:t>
      </w:r>
      <w:r w:rsidR="00125DE2" w:rsidRPr="00366F2E">
        <w:rPr>
          <w:rFonts w:ascii="Times New Roman" w:hAnsi="Times New Roman"/>
          <w:spacing w:val="-2"/>
          <w:sz w:val="24"/>
          <w:szCs w:val="24"/>
        </w:rPr>
        <w:t>84.9546</w:t>
      </w:r>
      <w:r w:rsidRPr="00366F2E">
        <w:rPr>
          <w:rFonts w:ascii="Times New Roman" w:hAnsi="Times New Roman"/>
          <w:sz w:val="24"/>
          <w:szCs w:val="24"/>
        </w:rPr>
        <w:t xml:space="preserve"> mg </w:t>
      </w:r>
      <w:proofErr w:type="spellStart"/>
      <w:r w:rsidRPr="00366F2E">
        <w:rPr>
          <w:rFonts w:ascii="Times New Roman" w:hAnsi="Times New Roman"/>
          <w:sz w:val="24"/>
          <w:szCs w:val="24"/>
        </w:rPr>
        <w:t>sukroz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bulunmaktadır. Nadir kal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t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msal früktoz </w:t>
      </w:r>
      <w:proofErr w:type="spellStart"/>
      <w:r w:rsidRPr="00366F2E">
        <w:rPr>
          <w:rFonts w:ascii="Times New Roman" w:hAnsi="Times New Roman"/>
          <w:sz w:val="24"/>
          <w:szCs w:val="24"/>
        </w:rPr>
        <w:t>intolerans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, glikoz </w:t>
      </w:r>
      <w:proofErr w:type="spellStart"/>
      <w:r w:rsidRPr="00366F2E">
        <w:rPr>
          <w:rFonts w:ascii="Times New Roman" w:hAnsi="Times New Roman"/>
          <w:sz w:val="24"/>
          <w:szCs w:val="24"/>
        </w:rPr>
        <w:t>galaktoz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z w:val="24"/>
          <w:szCs w:val="24"/>
        </w:rPr>
        <w:t>malabsorpsiyon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veya </w:t>
      </w:r>
      <w:proofErr w:type="spellStart"/>
      <w:r w:rsidRPr="00366F2E">
        <w:rPr>
          <w:rFonts w:ascii="Times New Roman" w:hAnsi="Times New Roman"/>
          <w:sz w:val="24"/>
          <w:szCs w:val="24"/>
        </w:rPr>
        <w:t>sükraz</w:t>
      </w:r>
      <w:proofErr w:type="spellEnd"/>
      <w:r w:rsidRPr="00366F2E">
        <w:rPr>
          <w:rFonts w:ascii="Times New Roman" w:hAnsi="Times New Roman"/>
          <w:sz w:val="24"/>
          <w:szCs w:val="24"/>
        </w:rPr>
        <w:t>-</w:t>
      </w:r>
      <w:proofErr w:type="spellStart"/>
      <w:r w:rsidRPr="00366F2E">
        <w:rPr>
          <w:rFonts w:ascii="Times New Roman" w:hAnsi="Times New Roman"/>
          <w:sz w:val="24"/>
          <w:szCs w:val="24"/>
        </w:rPr>
        <w:t>izomaltaz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yetmezli</w:t>
      </w:r>
      <w:r w:rsidRPr="00366F2E">
        <w:rPr>
          <w:rFonts w:ascii="Times New Roman" w:hAnsi="Times New Roman" w:hint="eastAsia"/>
          <w:sz w:val="24"/>
          <w:szCs w:val="24"/>
        </w:rPr>
        <w:t>ğ</w:t>
      </w:r>
      <w:r w:rsidRPr="00366F2E">
        <w:rPr>
          <w:rFonts w:ascii="Times New Roman" w:hAnsi="Times New Roman"/>
          <w:sz w:val="24"/>
          <w:szCs w:val="24"/>
        </w:rPr>
        <w:t>i problemi olan hastalar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 bu ilac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 kullanmamalar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 xml:space="preserve"> gerekir.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4.5. Di</w:t>
      </w:r>
      <w:r w:rsidRPr="00366F2E">
        <w:rPr>
          <w:rFonts w:ascii="Times New Roman" w:hAnsi="Times New Roman" w:hint="eastAsia"/>
          <w:b/>
          <w:sz w:val="24"/>
          <w:szCs w:val="24"/>
        </w:rPr>
        <w:t>ğ</w:t>
      </w:r>
      <w:r w:rsidRPr="00366F2E">
        <w:rPr>
          <w:rFonts w:ascii="Times New Roman" w:hAnsi="Times New Roman"/>
          <w:b/>
          <w:sz w:val="24"/>
          <w:szCs w:val="24"/>
        </w:rPr>
        <w:t>er t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bbi ürünler ile etkileşimler ve di</w:t>
      </w:r>
      <w:r w:rsidRPr="00366F2E">
        <w:rPr>
          <w:rFonts w:ascii="Times New Roman" w:hAnsi="Times New Roman" w:hint="eastAsia"/>
          <w:b/>
          <w:sz w:val="24"/>
          <w:szCs w:val="24"/>
        </w:rPr>
        <w:t>ğ</w:t>
      </w:r>
      <w:r w:rsidRPr="00366F2E">
        <w:rPr>
          <w:rFonts w:ascii="Times New Roman" w:hAnsi="Times New Roman"/>
          <w:b/>
          <w:sz w:val="24"/>
          <w:szCs w:val="24"/>
        </w:rPr>
        <w:t>er etkileşim şekilleri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ya 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sempatomimetik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ilaçlarla (lokal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anesteziklerle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kombine edilen epinefrin de dahil) birlikte ancak hekim kararı ve hekim kontrolünde kullanılabilir.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Antidepresanlarla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etkili ilaçları birlikte kullanan hastalarda,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paralitik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ileus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gelişebilmektedir.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Simetidin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karaciğerdeki metabolizmasını azaltmakta ve eliminasyonu geciktirerek, bu ilaçların kararlı plazma konsantrasyon seviyesini yükseltmektedir.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Simetidin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birlikte kullanıldığında,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etkilerinde klinik açıdan anlamlı farklılıklar oluştuğu bildirilmiştir.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Simetidin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plazma seviyelerinin yükseldiği ve başta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olmak üzere yan etkilerin sıklığı ve şiddetinin arttığı saptanmıştır.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simetidinin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birlikte kullanıldığı ve çok iyi takip edilmekte olan hastalarda,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simetidinin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kesilmesiyle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plazma seviyesi ve etkinliğinde düşüş olabilir.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birlikte yüksek doz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etklorvinol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kullanılan hastalar yakından izlenmelidir. Bir gram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etklorvinol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75-150 mg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HCl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kullanan hastalarda geçici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delirium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bildirilmiştir.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guanetidin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debrizokin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betanidin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klonidin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gibi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antihipertansiflerin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etkisini bloke edebilir.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Fluoksetin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fluvoksamin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gibi serotonin geri emilim inhibitörleri ile beraber kullanımı,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plazma konsantrasyonunu artırabilir. Bu nedenle, doz ayarlaması gerekebilir.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Alkol: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Sedatif</w:t>
      </w:r>
      <w:proofErr w:type="spellEnd"/>
      <w:r w:rsidRPr="00366F2E">
        <w:rPr>
          <w:color w:val="auto"/>
          <w:spacing w:val="-2"/>
          <w:lang w:eastAsia="ja-JP"/>
        </w:rPr>
        <w:t xml:space="preserve"> etkiyi arttırır. 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Alfa</w:t>
      </w:r>
      <w:r w:rsidRPr="00366F2E">
        <w:rPr>
          <w:i/>
          <w:color w:val="auto"/>
          <w:spacing w:val="-2"/>
          <w:vertAlign w:val="subscript"/>
          <w:lang w:eastAsia="ja-JP"/>
        </w:rPr>
        <w:t>2</w:t>
      </w:r>
      <w:r w:rsidRPr="00366F2E">
        <w:rPr>
          <w:i/>
          <w:color w:val="auto"/>
          <w:spacing w:val="-2"/>
          <w:lang w:eastAsia="ja-JP"/>
        </w:rPr>
        <w:t>-</w:t>
      </w:r>
      <w:proofErr w:type="spellStart"/>
      <w:r w:rsidRPr="00366F2E">
        <w:rPr>
          <w:i/>
          <w:color w:val="auto"/>
          <w:spacing w:val="-2"/>
          <w:lang w:eastAsia="ja-JP"/>
        </w:rPr>
        <w:t>adrenoseptör</w:t>
      </w:r>
      <w:proofErr w:type="spellEnd"/>
      <w:r w:rsidRPr="00366F2E">
        <w:rPr>
          <w:i/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i/>
          <w:color w:val="auto"/>
          <w:spacing w:val="-2"/>
          <w:lang w:eastAsia="ja-JP"/>
        </w:rPr>
        <w:t>stimulanları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Apraklonidin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brimonidinin</w:t>
      </w:r>
      <w:proofErr w:type="spellEnd"/>
      <w:r w:rsidRPr="00366F2E">
        <w:rPr>
          <w:color w:val="auto"/>
          <w:spacing w:val="-2"/>
          <w:lang w:eastAsia="ja-JP"/>
        </w:rPr>
        <w:t xml:space="preserve"> birlikte kullanımından kaçınılmalıdır.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Altretamin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Şiddetli </w:t>
      </w:r>
      <w:proofErr w:type="spellStart"/>
      <w:r w:rsidRPr="00366F2E">
        <w:rPr>
          <w:color w:val="auto"/>
          <w:spacing w:val="-2"/>
          <w:lang w:eastAsia="ja-JP"/>
        </w:rPr>
        <w:t>postural</w:t>
      </w:r>
      <w:proofErr w:type="spellEnd"/>
      <w:r w:rsidRPr="00366F2E">
        <w:rPr>
          <w:color w:val="auto"/>
          <w:spacing w:val="-2"/>
          <w:lang w:eastAsia="ja-JP"/>
        </w:rPr>
        <w:t xml:space="preserve"> hipotansiyon riski. 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Anestezikler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Beraber uygulanan tedavi, aritmi ve hipotansiyon riskini arttırabilir. Eğer ameliyat gerekliyse, hastanın böyle bir tedavi gördüğü bilgisi anesteziste verilmelidir.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Analjezikler: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Nefopamla</w:t>
      </w:r>
      <w:proofErr w:type="spellEnd"/>
      <w:r w:rsidRPr="00366F2E">
        <w:rPr>
          <w:color w:val="auto"/>
          <w:spacing w:val="-2"/>
          <w:lang w:eastAsia="ja-JP"/>
        </w:rPr>
        <w:t xml:space="preserve"> yan etki artma ihtimali vardır. Merkezi sinir sistemi </w:t>
      </w:r>
      <w:proofErr w:type="spellStart"/>
      <w:r w:rsidRPr="00366F2E">
        <w:rPr>
          <w:color w:val="auto"/>
          <w:spacing w:val="-2"/>
          <w:lang w:eastAsia="ja-JP"/>
        </w:rPr>
        <w:t>toksisitesi</w:t>
      </w:r>
      <w:proofErr w:type="spellEnd"/>
      <w:r w:rsidRPr="00366F2E">
        <w:rPr>
          <w:color w:val="auto"/>
          <w:spacing w:val="-2"/>
          <w:lang w:eastAsia="ja-JP"/>
        </w:rPr>
        <w:t xml:space="preserve"> riski, </w:t>
      </w:r>
      <w:proofErr w:type="spellStart"/>
      <w:r w:rsidRPr="00366F2E">
        <w:rPr>
          <w:color w:val="auto"/>
          <w:spacing w:val="-2"/>
          <w:lang w:eastAsia="ja-JP"/>
        </w:rPr>
        <w:t>tramadol</w:t>
      </w:r>
      <w:proofErr w:type="spellEnd"/>
      <w:r w:rsidRPr="00366F2E">
        <w:rPr>
          <w:color w:val="auto"/>
          <w:spacing w:val="-2"/>
          <w:lang w:eastAsia="ja-JP"/>
        </w:rPr>
        <w:t xml:space="preserve"> ile artar. </w:t>
      </w:r>
      <w:proofErr w:type="spellStart"/>
      <w:r w:rsidRPr="00366F2E">
        <w:rPr>
          <w:color w:val="auto"/>
          <w:spacing w:val="-2"/>
          <w:lang w:eastAsia="ja-JP"/>
        </w:rPr>
        <w:t>Opioid</w:t>
      </w:r>
      <w:proofErr w:type="spellEnd"/>
      <w:r w:rsidRPr="00366F2E">
        <w:rPr>
          <w:color w:val="auto"/>
          <w:spacing w:val="-2"/>
          <w:lang w:eastAsia="ja-JP"/>
        </w:rPr>
        <w:t xml:space="preserve"> analjeziklerle </w:t>
      </w:r>
      <w:proofErr w:type="spellStart"/>
      <w:r w:rsidRPr="00366F2E">
        <w:rPr>
          <w:color w:val="auto"/>
          <w:spacing w:val="-2"/>
          <w:lang w:eastAsia="ja-JP"/>
        </w:rPr>
        <w:t>sedasyonun</w:t>
      </w:r>
      <w:proofErr w:type="spellEnd"/>
      <w:r w:rsidRPr="00366F2E">
        <w:rPr>
          <w:color w:val="auto"/>
          <w:spacing w:val="-2"/>
          <w:lang w:eastAsia="ja-JP"/>
        </w:rPr>
        <w:t xml:space="preserve"> artma ihtimali vardır.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lastRenderedPageBreak/>
        <w:t>Anti-aritmikler: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Amiodaron</w:t>
      </w:r>
      <w:proofErr w:type="spellEnd"/>
      <w:r w:rsidRPr="00366F2E">
        <w:rPr>
          <w:color w:val="auto"/>
          <w:spacing w:val="-2"/>
          <w:lang w:eastAsia="ja-JP"/>
        </w:rPr>
        <w:t xml:space="preserve"> (birlikte kullanımından kaçının), </w:t>
      </w:r>
      <w:proofErr w:type="spellStart"/>
      <w:r w:rsidRPr="00366F2E">
        <w:rPr>
          <w:color w:val="auto"/>
          <w:spacing w:val="-2"/>
          <w:lang w:eastAsia="ja-JP"/>
        </w:rPr>
        <w:t>dizopramid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prokainamid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propafenon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kinidin</w:t>
      </w:r>
      <w:proofErr w:type="spellEnd"/>
      <w:r w:rsidRPr="00366F2E">
        <w:rPr>
          <w:color w:val="auto"/>
          <w:spacing w:val="-2"/>
          <w:lang w:eastAsia="ja-JP"/>
        </w:rPr>
        <w:t xml:space="preserve"> de dahil olmak üzere QT aralığını uzatan ilaçlarla </w:t>
      </w:r>
      <w:proofErr w:type="spellStart"/>
      <w:r w:rsidRPr="00366F2E">
        <w:rPr>
          <w:color w:val="auto"/>
          <w:spacing w:val="-2"/>
          <w:lang w:eastAsia="ja-JP"/>
        </w:rPr>
        <w:t>ventriküler</w:t>
      </w:r>
      <w:proofErr w:type="spellEnd"/>
      <w:r w:rsidRPr="00366F2E">
        <w:rPr>
          <w:color w:val="auto"/>
          <w:spacing w:val="-2"/>
          <w:lang w:eastAsia="ja-JP"/>
        </w:rPr>
        <w:t xml:space="preserve"> aritmi riski artar.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Antibakteriyeller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Bazı </w:t>
      </w:r>
      <w:proofErr w:type="spellStart"/>
      <w:r w:rsidRPr="00366F2E">
        <w:rPr>
          <w:color w:val="auto"/>
          <w:spacing w:val="-2"/>
          <w:lang w:eastAsia="ja-JP"/>
        </w:rPr>
        <w:t>trisikliklerin</w:t>
      </w:r>
      <w:proofErr w:type="spellEnd"/>
      <w:r w:rsidRPr="00366F2E">
        <w:rPr>
          <w:color w:val="auto"/>
          <w:spacing w:val="-2"/>
          <w:lang w:eastAsia="ja-JP"/>
        </w:rPr>
        <w:t xml:space="preserve"> plazma konsantrasyonları, rifampisin (</w:t>
      </w:r>
      <w:proofErr w:type="spellStart"/>
      <w:r w:rsidRPr="00366F2E">
        <w:rPr>
          <w:color w:val="auto"/>
          <w:spacing w:val="-2"/>
          <w:lang w:eastAsia="ja-JP"/>
        </w:rPr>
        <w:t>antidepresan</w:t>
      </w:r>
      <w:proofErr w:type="spellEnd"/>
      <w:r w:rsidRPr="00366F2E">
        <w:rPr>
          <w:color w:val="auto"/>
          <w:spacing w:val="-2"/>
          <w:lang w:eastAsia="ja-JP"/>
        </w:rPr>
        <w:t xml:space="preserve"> etkiyi azaltır) ile azalır. </w:t>
      </w:r>
      <w:proofErr w:type="spellStart"/>
      <w:r w:rsidRPr="00366F2E">
        <w:rPr>
          <w:color w:val="auto"/>
          <w:spacing w:val="-2"/>
          <w:lang w:eastAsia="ja-JP"/>
        </w:rPr>
        <w:t>Linezolid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 merkezi sinir sistemi </w:t>
      </w:r>
      <w:proofErr w:type="spellStart"/>
      <w:r w:rsidRPr="00366F2E">
        <w:rPr>
          <w:color w:val="auto"/>
          <w:spacing w:val="-2"/>
          <w:lang w:eastAsia="ja-JP"/>
        </w:rPr>
        <w:t>eksitasyonuna</w:t>
      </w:r>
      <w:proofErr w:type="spellEnd"/>
      <w:r w:rsidRPr="00366F2E">
        <w:rPr>
          <w:color w:val="auto"/>
          <w:spacing w:val="-2"/>
          <w:lang w:eastAsia="ja-JP"/>
        </w:rPr>
        <w:t xml:space="preserve"> ve hipertansiyona neden olabilir.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Antidepresanlar: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Monoamino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oksidaz</w:t>
      </w:r>
      <w:proofErr w:type="spellEnd"/>
      <w:r w:rsidRPr="00366F2E">
        <w:rPr>
          <w:color w:val="auto"/>
          <w:spacing w:val="-2"/>
          <w:lang w:eastAsia="ja-JP"/>
        </w:rPr>
        <w:t xml:space="preserve"> inhibitörleri ile birlikte kullanımı merkezi sinir sistemi </w:t>
      </w:r>
      <w:proofErr w:type="spellStart"/>
      <w:r w:rsidRPr="00366F2E">
        <w:rPr>
          <w:color w:val="auto"/>
          <w:spacing w:val="-2"/>
          <w:lang w:eastAsia="ja-JP"/>
        </w:rPr>
        <w:t>eksitasyonuna</w:t>
      </w:r>
      <w:proofErr w:type="spellEnd"/>
      <w:r w:rsidRPr="00366F2E">
        <w:rPr>
          <w:color w:val="auto"/>
          <w:spacing w:val="-2"/>
          <w:lang w:eastAsia="ja-JP"/>
        </w:rPr>
        <w:t xml:space="preserve"> ve hipertansiyona neden olur. Şiddetli </w:t>
      </w:r>
      <w:proofErr w:type="spellStart"/>
      <w:r w:rsidRPr="00366F2E">
        <w:rPr>
          <w:color w:val="auto"/>
          <w:spacing w:val="-2"/>
          <w:lang w:eastAsia="ja-JP"/>
        </w:rPr>
        <w:t>konvülsiyonlar</w:t>
      </w:r>
      <w:proofErr w:type="spellEnd"/>
      <w:r w:rsidRPr="00366F2E">
        <w:rPr>
          <w:color w:val="auto"/>
          <w:spacing w:val="-2"/>
          <w:lang w:eastAsia="ja-JP"/>
        </w:rPr>
        <w:t xml:space="preserve"> ve fatalite görülmüştür. Bu nedenle </w:t>
      </w:r>
      <w:proofErr w:type="spellStart"/>
      <w:r w:rsidRPr="00366F2E">
        <w:rPr>
          <w:color w:val="auto"/>
          <w:spacing w:val="-2"/>
          <w:lang w:eastAsia="ja-JP"/>
        </w:rPr>
        <w:t>amitiriptilin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monoamino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oksidaz</w:t>
      </w:r>
      <w:proofErr w:type="spellEnd"/>
      <w:r w:rsidRPr="00366F2E">
        <w:rPr>
          <w:color w:val="auto"/>
          <w:spacing w:val="-2"/>
          <w:lang w:eastAsia="ja-JP"/>
        </w:rPr>
        <w:t xml:space="preserve"> inhibitörleri ile birlikte verilmemelidir ve </w:t>
      </w:r>
      <w:proofErr w:type="spellStart"/>
      <w:r w:rsidRPr="00366F2E">
        <w:rPr>
          <w:color w:val="auto"/>
          <w:spacing w:val="-2"/>
          <w:lang w:eastAsia="ja-JP"/>
        </w:rPr>
        <w:t>monoamino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oksidaz</w:t>
      </w:r>
      <w:proofErr w:type="spellEnd"/>
      <w:r w:rsidRPr="00366F2E">
        <w:rPr>
          <w:color w:val="auto"/>
          <w:spacing w:val="-2"/>
          <w:lang w:eastAsia="ja-JP"/>
        </w:rPr>
        <w:t xml:space="preserve"> inhibitörleri kesildikten sonra, </w:t>
      </w:r>
      <w:proofErr w:type="spellStart"/>
      <w:r w:rsidRPr="00366F2E">
        <w:rPr>
          <w:color w:val="auto"/>
          <w:spacing w:val="-2"/>
          <w:lang w:eastAsia="ja-JP"/>
        </w:rPr>
        <w:t>amitiriptiline</w:t>
      </w:r>
      <w:proofErr w:type="spellEnd"/>
      <w:r w:rsidRPr="00366F2E">
        <w:rPr>
          <w:color w:val="auto"/>
          <w:spacing w:val="-2"/>
          <w:lang w:eastAsia="ja-JP"/>
        </w:rPr>
        <w:t xml:space="preserve"> başlanmadan önce en az 14 gün beklenmelidir. Bu süre geçtikten sonra, </w:t>
      </w:r>
      <w:proofErr w:type="spellStart"/>
      <w:r w:rsidRPr="00366F2E">
        <w:rPr>
          <w:color w:val="auto"/>
          <w:spacing w:val="-2"/>
          <w:lang w:eastAsia="ja-JP"/>
        </w:rPr>
        <w:t>amitiriptilin</w:t>
      </w:r>
      <w:proofErr w:type="spellEnd"/>
      <w:r w:rsidRPr="00366F2E">
        <w:rPr>
          <w:color w:val="auto"/>
          <w:spacing w:val="-2"/>
          <w:lang w:eastAsia="ja-JP"/>
        </w:rPr>
        <w:t xml:space="preserve"> dikkatle kullanılmalı ve doz, kademeli olarak arttırılmalıdır. </w:t>
      </w:r>
      <w:proofErr w:type="spellStart"/>
      <w:r w:rsidRPr="00366F2E">
        <w:rPr>
          <w:color w:val="auto"/>
          <w:spacing w:val="-2"/>
          <w:lang w:eastAsia="ja-JP"/>
        </w:rPr>
        <w:t>Reboksatinin</w:t>
      </w:r>
      <w:proofErr w:type="spellEnd"/>
      <w:r w:rsidRPr="00366F2E">
        <w:rPr>
          <w:color w:val="auto"/>
          <w:spacing w:val="-2"/>
          <w:lang w:eastAsia="ja-JP"/>
        </w:rPr>
        <w:t xml:space="preserve"> birlikte kullanımında dikkatli olunmalıdır. 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Antiepileptikler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Antiepileptiklerle</w:t>
      </w:r>
      <w:proofErr w:type="spellEnd"/>
      <w:r w:rsidRPr="00366F2E">
        <w:rPr>
          <w:color w:val="auto"/>
          <w:spacing w:val="-2"/>
          <w:lang w:eastAsia="ja-JP"/>
        </w:rPr>
        <w:t xml:space="preserve"> birlikte kullanımı, </w:t>
      </w:r>
      <w:proofErr w:type="spellStart"/>
      <w:r w:rsidRPr="00366F2E">
        <w:rPr>
          <w:color w:val="auto"/>
          <w:spacing w:val="-2"/>
          <w:lang w:eastAsia="ja-JP"/>
        </w:rPr>
        <w:t>konvülsif</w:t>
      </w:r>
      <w:proofErr w:type="spellEnd"/>
      <w:r w:rsidRPr="00366F2E">
        <w:rPr>
          <w:color w:val="auto"/>
          <w:spacing w:val="-2"/>
          <w:lang w:eastAsia="ja-JP"/>
        </w:rPr>
        <w:t xml:space="preserve"> eşiği düşürebilir. Bazı </w:t>
      </w:r>
      <w:proofErr w:type="spellStart"/>
      <w:r w:rsidRPr="00366F2E">
        <w:rPr>
          <w:color w:val="auto"/>
          <w:spacing w:val="-2"/>
          <w:lang w:eastAsia="ja-JP"/>
        </w:rPr>
        <w:t>trisikliklerin</w:t>
      </w:r>
      <w:proofErr w:type="spellEnd"/>
      <w:r w:rsidRPr="00366F2E">
        <w:rPr>
          <w:color w:val="auto"/>
          <w:spacing w:val="-2"/>
          <w:lang w:eastAsia="ja-JP"/>
        </w:rPr>
        <w:t xml:space="preserve"> plazma konsantrasyonları azalabilir (örn. barbitüratlar, </w:t>
      </w:r>
      <w:proofErr w:type="spellStart"/>
      <w:r w:rsidRPr="00366F2E">
        <w:rPr>
          <w:color w:val="auto"/>
          <w:spacing w:val="-2"/>
          <w:lang w:eastAsia="ja-JP"/>
        </w:rPr>
        <w:t>karbamazepin</w:t>
      </w:r>
      <w:proofErr w:type="spellEnd"/>
      <w:r w:rsidRPr="00366F2E">
        <w:rPr>
          <w:color w:val="auto"/>
          <w:spacing w:val="-2"/>
          <w:lang w:eastAsia="ja-JP"/>
        </w:rPr>
        <w:t xml:space="preserve"> ile), bu da </w:t>
      </w:r>
      <w:proofErr w:type="spellStart"/>
      <w:r w:rsidRPr="00366F2E">
        <w:rPr>
          <w:color w:val="auto"/>
          <w:spacing w:val="-2"/>
          <w:lang w:eastAsia="ja-JP"/>
        </w:rPr>
        <w:t>antidepresan</w:t>
      </w:r>
      <w:proofErr w:type="spellEnd"/>
      <w:r w:rsidRPr="00366F2E">
        <w:rPr>
          <w:color w:val="auto"/>
          <w:spacing w:val="-2"/>
          <w:lang w:eastAsia="ja-JP"/>
        </w:rPr>
        <w:t xml:space="preserve"> etkisinin azalmasına neden olabilir.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Antifungaller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Flukonazol</w:t>
      </w:r>
      <w:proofErr w:type="spellEnd"/>
      <w:r w:rsidRPr="00366F2E">
        <w:rPr>
          <w:color w:val="auto"/>
          <w:spacing w:val="-2"/>
          <w:lang w:eastAsia="ja-JP"/>
        </w:rPr>
        <w:t xml:space="preserve"> de alan hastalarda serum konsantrasyonlarında artış görülmüştür. Artmış </w:t>
      </w:r>
      <w:proofErr w:type="spellStart"/>
      <w:r w:rsidRPr="00366F2E">
        <w:rPr>
          <w:color w:val="auto"/>
          <w:spacing w:val="-2"/>
          <w:lang w:eastAsia="ja-JP"/>
        </w:rPr>
        <w:t>amitiriptilin</w:t>
      </w:r>
      <w:proofErr w:type="spellEnd"/>
      <w:r w:rsidRPr="00366F2E">
        <w:rPr>
          <w:color w:val="auto"/>
          <w:spacing w:val="-2"/>
          <w:lang w:eastAsia="ja-JP"/>
        </w:rPr>
        <w:t xml:space="preserve"> plazma konsantrasyonu nedeniyle ciddi </w:t>
      </w:r>
      <w:proofErr w:type="spellStart"/>
      <w:r w:rsidRPr="00366F2E">
        <w:rPr>
          <w:color w:val="auto"/>
          <w:spacing w:val="-2"/>
          <w:lang w:eastAsia="ja-JP"/>
        </w:rPr>
        <w:t>advers</w:t>
      </w:r>
      <w:proofErr w:type="spellEnd"/>
      <w:r w:rsidRPr="00366F2E">
        <w:rPr>
          <w:color w:val="auto"/>
          <w:spacing w:val="-2"/>
          <w:lang w:eastAsia="ja-JP"/>
        </w:rPr>
        <w:t xml:space="preserve"> etkiler bildirilmiştir.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Antihistaminler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Artmış </w:t>
      </w:r>
      <w:proofErr w:type="spellStart"/>
      <w:r w:rsidRPr="00366F2E">
        <w:rPr>
          <w:color w:val="auto"/>
          <w:spacing w:val="-2"/>
          <w:lang w:eastAsia="ja-JP"/>
        </w:rPr>
        <w:t>antikolinerjik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sedatif</w:t>
      </w:r>
      <w:proofErr w:type="spellEnd"/>
      <w:r w:rsidRPr="00366F2E">
        <w:rPr>
          <w:color w:val="auto"/>
          <w:spacing w:val="-2"/>
          <w:lang w:eastAsia="ja-JP"/>
        </w:rPr>
        <w:t xml:space="preserve"> etkiler. </w:t>
      </w:r>
      <w:proofErr w:type="spellStart"/>
      <w:r w:rsidRPr="00366F2E">
        <w:rPr>
          <w:color w:val="auto"/>
          <w:spacing w:val="-2"/>
          <w:lang w:eastAsia="ja-JP"/>
        </w:rPr>
        <w:t>Ventriküler</w:t>
      </w:r>
      <w:proofErr w:type="spellEnd"/>
      <w:r w:rsidRPr="00366F2E">
        <w:rPr>
          <w:color w:val="auto"/>
          <w:spacing w:val="-2"/>
          <w:lang w:eastAsia="ja-JP"/>
        </w:rPr>
        <w:t xml:space="preserve"> aritmi riskinin artmasından dolayı </w:t>
      </w:r>
      <w:proofErr w:type="spellStart"/>
      <w:r w:rsidRPr="00366F2E">
        <w:rPr>
          <w:color w:val="auto"/>
          <w:spacing w:val="-2"/>
          <w:lang w:eastAsia="ja-JP"/>
        </w:rPr>
        <w:t>terfenadin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kullanımından kaçınılmalıdır.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Antipsikotikler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Ventriküler</w:t>
      </w:r>
      <w:proofErr w:type="spellEnd"/>
      <w:r w:rsidRPr="00366F2E">
        <w:rPr>
          <w:color w:val="auto"/>
          <w:spacing w:val="-2"/>
          <w:lang w:eastAsia="ja-JP"/>
        </w:rPr>
        <w:t xml:space="preserve"> aritmi riski artar. </w:t>
      </w:r>
      <w:proofErr w:type="spellStart"/>
      <w:r w:rsidRPr="00366F2E">
        <w:rPr>
          <w:color w:val="auto"/>
          <w:spacing w:val="-2"/>
          <w:lang w:eastAsia="ja-JP"/>
        </w:rPr>
        <w:t>Pimozid</w:t>
      </w:r>
      <w:proofErr w:type="spellEnd"/>
      <w:r w:rsidRPr="00366F2E">
        <w:rPr>
          <w:color w:val="auto"/>
          <w:spacing w:val="-2"/>
          <w:lang w:eastAsia="ja-JP"/>
        </w:rPr>
        <w:t xml:space="preserve"> veya </w:t>
      </w:r>
      <w:proofErr w:type="spellStart"/>
      <w:r w:rsidRPr="00366F2E">
        <w:rPr>
          <w:color w:val="auto"/>
          <w:spacing w:val="-2"/>
          <w:lang w:eastAsia="ja-JP"/>
        </w:rPr>
        <w:t>tiyoridazin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kullanımından kaçının. </w:t>
      </w:r>
      <w:proofErr w:type="spellStart"/>
      <w:r w:rsidRPr="00366F2E">
        <w:rPr>
          <w:color w:val="auto"/>
          <w:spacing w:val="-2"/>
          <w:lang w:eastAsia="ja-JP"/>
        </w:rPr>
        <w:t>Antipsikotikler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kullanımı, trisiklik </w:t>
      </w:r>
      <w:proofErr w:type="spellStart"/>
      <w:r w:rsidRPr="00366F2E">
        <w:rPr>
          <w:color w:val="auto"/>
          <w:spacing w:val="-2"/>
          <w:lang w:eastAsia="ja-JP"/>
        </w:rPr>
        <w:t>antidepresanların</w:t>
      </w:r>
      <w:proofErr w:type="spellEnd"/>
      <w:r w:rsidRPr="00366F2E">
        <w:rPr>
          <w:color w:val="auto"/>
          <w:spacing w:val="-2"/>
          <w:lang w:eastAsia="ja-JP"/>
        </w:rPr>
        <w:t xml:space="preserve"> plazma konsantrasyonlarını </w:t>
      </w:r>
      <w:proofErr w:type="spellStart"/>
      <w:r w:rsidRPr="00366F2E">
        <w:rPr>
          <w:color w:val="auto"/>
          <w:spacing w:val="-2"/>
          <w:lang w:eastAsia="ja-JP"/>
        </w:rPr>
        <w:t>arttırqabilir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fenotiazinlerin</w:t>
      </w:r>
      <w:proofErr w:type="spellEnd"/>
      <w:r w:rsidRPr="00366F2E">
        <w:rPr>
          <w:color w:val="auto"/>
          <w:spacing w:val="-2"/>
          <w:lang w:eastAsia="ja-JP"/>
        </w:rPr>
        <w:t xml:space="preserve"> ve muhtemel olarak </w:t>
      </w:r>
      <w:proofErr w:type="spellStart"/>
      <w:r w:rsidRPr="00366F2E">
        <w:rPr>
          <w:color w:val="auto"/>
          <w:spacing w:val="-2"/>
          <w:lang w:eastAsia="ja-JP"/>
        </w:rPr>
        <w:t>klozapinin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antikolinerjik</w:t>
      </w:r>
      <w:proofErr w:type="spellEnd"/>
      <w:r w:rsidRPr="00366F2E">
        <w:rPr>
          <w:color w:val="auto"/>
          <w:spacing w:val="-2"/>
          <w:lang w:eastAsia="ja-JP"/>
        </w:rPr>
        <w:t xml:space="preserve"> yan etkilerini arttırabilir.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Antiviraller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Amitiriptilinin</w:t>
      </w:r>
      <w:proofErr w:type="spellEnd"/>
      <w:r w:rsidRPr="00366F2E">
        <w:rPr>
          <w:color w:val="auto"/>
          <w:spacing w:val="-2"/>
          <w:lang w:eastAsia="ja-JP"/>
        </w:rPr>
        <w:t xml:space="preserve"> bilinen metabolizmasına bağlı olarak, </w:t>
      </w:r>
      <w:proofErr w:type="spellStart"/>
      <w:r w:rsidRPr="00366F2E">
        <w:rPr>
          <w:color w:val="auto"/>
          <w:spacing w:val="-2"/>
          <w:lang w:eastAsia="ja-JP"/>
        </w:rPr>
        <w:t>proteaz</w:t>
      </w:r>
      <w:proofErr w:type="spellEnd"/>
      <w:r w:rsidRPr="00366F2E">
        <w:rPr>
          <w:color w:val="auto"/>
          <w:spacing w:val="-2"/>
          <w:lang w:eastAsia="ja-JP"/>
        </w:rPr>
        <w:t xml:space="preserve"> inhibitörü olan </w:t>
      </w:r>
      <w:proofErr w:type="spellStart"/>
      <w:r w:rsidRPr="00366F2E">
        <w:rPr>
          <w:color w:val="auto"/>
          <w:spacing w:val="-2"/>
          <w:lang w:eastAsia="ja-JP"/>
        </w:rPr>
        <w:t>ritonavir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amitiriptilinin</w:t>
      </w:r>
      <w:proofErr w:type="spellEnd"/>
      <w:r w:rsidRPr="00366F2E">
        <w:rPr>
          <w:color w:val="auto"/>
          <w:spacing w:val="-2"/>
          <w:lang w:eastAsia="ja-JP"/>
        </w:rPr>
        <w:t xml:space="preserve"> serum seviyelerinde artışa neden olabilir. Bu nedenle, bu ilaçlar birlikte kullanıldığında </w:t>
      </w:r>
      <w:proofErr w:type="spellStart"/>
      <w:r w:rsidRPr="00366F2E">
        <w:rPr>
          <w:color w:val="auto"/>
          <w:spacing w:val="-2"/>
          <w:lang w:eastAsia="ja-JP"/>
        </w:rPr>
        <w:t>terapötik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advers</w:t>
      </w:r>
      <w:proofErr w:type="spellEnd"/>
      <w:r w:rsidRPr="00366F2E">
        <w:rPr>
          <w:color w:val="auto"/>
          <w:spacing w:val="-2"/>
          <w:lang w:eastAsia="ja-JP"/>
        </w:rPr>
        <w:t xml:space="preserve"> etkilerin dikkatli gözetimi tavsiye edilir. 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Beta-</w:t>
      </w:r>
      <w:proofErr w:type="spellStart"/>
      <w:r w:rsidRPr="00366F2E">
        <w:rPr>
          <w:i/>
          <w:color w:val="auto"/>
          <w:spacing w:val="-2"/>
          <w:lang w:eastAsia="ja-JP"/>
        </w:rPr>
        <w:t>blokörler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Sotalolün</w:t>
      </w:r>
      <w:proofErr w:type="spellEnd"/>
      <w:r w:rsidRPr="00366F2E">
        <w:rPr>
          <w:color w:val="auto"/>
          <w:spacing w:val="-2"/>
          <w:lang w:eastAsia="ja-JP"/>
        </w:rPr>
        <w:t xml:space="preserve"> birlikte kullanımına bağlı olarak </w:t>
      </w:r>
      <w:proofErr w:type="spellStart"/>
      <w:r w:rsidRPr="00366F2E">
        <w:rPr>
          <w:color w:val="auto"/>
          <w:spacing w:val="-2"/>
          <w:lang w:eastAsia="ja-JP"/>
        </w:rPr>
        <w:t>ventriküler</w:t>
      </w:r>
      <w:proofErr w:type="spellEnd"/>
      <w:r w:rsidRPr="00366F2E">
        <w:rPr>
          <w:color w:val="auto"/>
          <w:spacing w:val="-2"/>
          <w:lang w:eastAsia="ja-JP"/>
        </w:rPr>
        <w:t xml:space="preserve"> aritmi riski artar.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 xml:space="preserve">Kalsiyum-kanal </w:t>
      </w:r>
      <w:proofErr w:type="spellStart"/>
      <w:r w:rsidRPr="00366F2E">
        <w:rPr>
          <w:i/>
          <w:color w:val="auto"/>
          <w:spacing w:val="-2"/>
          <w:lang w:eastAsia="ja-JP"/>
        </w:rPr>
        <w:t>blokörleri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Diltiazem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verapamil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amitiriptilinin</w:t>
      </w:r>
      <w:proofErr w:type="spellEnd"/>
      <w:r w:rsidRPr="00366F2E">
        <w:rPr>
          <w:color w:val="auto"/>
          <w:spacing w:val="-2"/>
          <w:lang w:eastAsia="ja-JP"/>
        </w:rPr>
        <w:t xml:space="preserve"> plazma konsantrasyonunu muhtemel olarak arttırabilir.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Disülfiram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Birlikte kullanım, </w:t>
      </w:r>
      <w:proofErr w:type="spellStart"/>
      <w:r w:rsidRPr="00366F2E">
        <w:rPr>
          <w:color w:val="auto"/>
          <w:spacing w:val="-2"/>
          <w:lang w:eastAsia="ja-JP"/>
        </w:rPr>
        <w:t>trisikliklerin</w:t>
      </w:r>
      <w:proofErr w:type="spellEnd"/>
      <w:r w:rsidRPr="00366F2E">
        <w:rPr>
          <w:color w:val="auto"/>
          <w:spacing w:val="-2"/>
          <w:lang w:eastAsia="ja-JP"/>
        </w:rPr>
        <w:t xml:space="preserve"> metabolizmasını </w:t>
      </w:r>
      <w:proofErr w:type="spellStart"/>
      <w:r w:rsidRPr="00366F2E">
        <w:rPr>
          <w:color w:val="auto"/>
          <w:spacing w:val="-2"/>
          <w:lang w:eastAsia="ja-JP"/>
        </w:rPr>
        <w:t>inhibe</w:t>
      </w:r>
      <w:proofErr w:type="spellEnd"/>
      <w:r w:rsidRPr="00366F2E">
        <w:rPr>
          <w:color w:val="auto"/>
          <w:spacing w:val="-2"/>
          <w:lang w:eastAsia="ja-JP"/>
        </w:rPr>
        <w:t xml:space="preserve"> edebilir. </w:t>
      </w:r>
      <w:proofErr w:type="spellStart"/>
      <w:r w:rsidRPr="00366F2E">
        <w:rPr>
          <w:color w:val="auto"/>
          <w:spacing w:val="-2"/>
          <w:lang w:eastAsia="ja-JP"/>
        </w:rPr>
        <w:t>Disülfiram</w:t>
      </w:r>
      <w:proofErr w:type="spellEnd"/>
      <w:r w:rsidRPr="00366F2E">
        <w:rPr>
          <w:color w:val="auto"/>
          <w:spacing w:val="-2"/>
          <w:lang w:eastAsia="ja-JP"/>
        </w:rPr>
        <w:t xml:space="preserve"> ile </w:t>
      </w:r>
      <w:proofErr w:type="spellStart"/>
      <w:r w:rsidRPr="00366F2E">
        <w:rPr>
          <w:color w:val="auto"/>
          <w:spacing w:val="-2"/>
          <w:lang w:eastAsia="ja-JP"/>
        </w:rPr>
        <w:t>amitiriptilin</w:t>
      </w:r>
      <w:proofErr w:type="spellEnd"/>
      <w:r w:rsidRPr="00366F2E">
        <w:rPr>
          <w:color w:val="auto"/>
          <w:spacing w:val="-2"/>
          <w:lang w:eastAsia="ja-JP"/>
        </w:rPr>
        <w:t xml:space="preserve"> alan hastalarda </w:t>
      </w:r>
      <w:proofErr w:type="spellStart"/>
      <w:r w:rsidRPr="00366F2E">
        <w:rPr>
          <w:color w:val="auto"/>
          <w:spacing w:val="-2"/>
          <w:lang w:eastAsia="ja-JP"/>
        </w:rPr>
        <w:t>deliryum</w:t>
      </w:r>
      <w:proofErr w:type="spellEnd"/>
      <w:r w:rsidRPr="00366F2E">
        <w:rPr>
          <w:color w:val="auto"/>
          <w:spacing w:val="-2"/>
          <w:lang w:eastAsia="ja-JP"/>
        </w:rPr>
        <w:t xml:space="preserve"> bildirilmiştir.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Diüretikler: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Postural</w:t>
      </w:r>
      <w:proofErr w:type="spellEnd"/>
      <w:r w:rsidRPr="00366F2E">
        <w:rPr>
          <w:color w:val="auto"/>
          <w:spacing w:val="-2"/>
          <w:lang w:eastAsia="ja-JP"/>
        </w:rPr>
        <w:t xml:space="preserve"> hipotansiyon riski artar.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Dopaminerjikler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Entekapon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kullanımından kaçınılmalıdır. </w:t>
      </w:r>
      <w:proofErr w:type="spellStart"/>
      <w:r w:rsidRPr="00366F2E">
        <w:rPr>
          <w:color w:val="auto"/>
          <w:spacing w:val="-2"/>
          <w:lang w:eastAsia="ja-JP"/>
        </w:rPr>
        <w:t>Selegilin</w:t>
      </w:r>
      <w:proofErr w:type="spellEnd"/>
      <w:r w:rsidRPr="00366F2E">
        <w:rPr>
          <w:color w:val="auto"/>
          <w:spacing w:val="-2"/>
          <w:lang w:eastAsia="ja-JP"/>
        </w:rPr>
        <w:t xml:space="preserve"> ile merkezi sinir sistemi </w:t>
      </w:r>
      <w:proofErr w:type="spellStart"/>
      <w:r w:rsidRPr="00366F2E">
        <w:rPr>
          <w:color w:val="auto"/>
          <w:spacing w:val="-2"/>
          <w:lang w:eastAsia="ja-JP"/>
        </w:rPr>
        <w:t>toksisitesi</w:t>
      </w:r>
      <w:proofErr w:type="spellEnd"/>
      <w:r w:rsidRPr="00366F2E">
        <w:rPr>
          <w:color w:val="auto"/>
          <w:spacing w:val="-2"/>
          <w:lang w:eastAsia="ja-JP"/>
        </w:rPr>
        <w:t xml:space="preserve"> bildirilmiştir.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Kas gevşeticiler: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Baklofen</w:t>
      </w:r>
      <w:proofErr w:type="spellEnd"/>
      <w:r w:rsidRPr="00366F2E">
        <w:rPr>
          <w:color w:val="auto"/>
          <w:spacing w:val="-2"/>
          <w:lang w:eastAsia="ja-JP"/>
        </w:rPr>
        <w:t xml:space="preserve"> ile birlikte kullanımı, kas gevşetici etkisini arttırır.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t>Nitratlar:</w:t>
      </w:r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Sublingual</w:t>
      </w:r>
      <w:proofErr w:type="spellEnd"/>
      <w:r w:rsidRPr="00366F2E">
        <w:rPr>
          <w:color w:val="auto"/>
          <w:spacing w:val="-2"/>
          <w:lang w:eastAsia="ja-JP"/>
        </w:rPr>
        <w:t xml:space="preserve"> nitratların etkisini azaltır (ağız kuruluğundan dolayı).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r w:rsidRPr="00366F2E">
        <w:rPr>
          <w:i/>
          <w:color w:val="auto"/>
          <w:spacing w:val="-2"/>
          <w:lang w:eastAsia="ja-JP"/>
        </w:rPr>
        <w:lastRenderedPageBreak/>
        <w:t xml:space="preserve">Östrojenler ve  </w:t>
      </w:r>
      <w:proofErr w:type="spellStart"/>
      <w:r w:rsidRPr="00366F2E">
        <w:rPr>
          <w:i/>
          <w:color w:val="auto"/>
          <w:spacing w:val="-2"/>
          <w:lang w:eastAsia="ja-JP"/>
        </w:rPr>
        <w:t>progestojenler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Oral </w:t>
      </w:r>
      <w:proofErr w:type="spellStart"/>
      <w:r w:rsidRPr="00366F2E">
        <w:rPr>
          <w:color w:val="auto"/>
          <w:spacing w:val="-2"/>
          <w:lang w:eastAsia="ja-JP"/>
        </w:rPr>
        <w:t>kontraseptifler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antidepresan</w:t>
      </w:r>
      <w:proofErr w:type="spellEnd"/>
      <w:r w:rsidRPr="00366F2E">
        <w:rPr>
          <w:color w:val="auto"/>
          <w:spacing w:val="-2"/>
          <w:lang w:eastAsia="ja-JP"/>
        </w:rPr>
        <w:t xml:space="preserve"> etkiyi </w:t>
      </w:r>
      <w:proofErr w:type="spellStart"/>
      <w:r w:rsidRPr="00366F2E">
        <w:rPr>
          <w:color w:val="auto"/>
          <w:spacing w:val="-2"/>
          <w:lang w:eastAsia="ja-JP"/>
        </w:rPr>
        <w:t>antagonize</w:t>
      </w:r>
      <w:proofErr w:type="spellEnd"/>
      <w:r w:rsidRPr="00366F2E">
        <w:rPr>
          <w:color w:val="auto"/>
          <w:spacing w:val="-2"/>
          <w:lang w:eastAsia="ja-JP"/>
        </w:rPr>
        <w:t xml:space="preserve"> eder ancak </w:t>
      </w:r>
      <w:proofErr w:type="spellStart"/>
      <w:r w:rsidRPr="00366F2E">
        <w:rPr>
          <w:color w:val="auto"/>
          <w:spacing w:val="-2"/>
          <w:lang w:eastAsia="ja-JP"/>
        </w:rPr>
        <w:t>trisikliklerin</w:t>
      </w:r>
      <w:proofErr w:type="spellEnd"/>
      <w:r w:rsidRPr="00366F2E">
        <w:rPr>
          <w:color w:val="auto"/>
          <w:spacing w:val="-2"/>
          <w:lang w:eastAsia="ja-JP"/>
        </w:rPr>
        <w:t xml:space="preserve"> artan plazma konsantrasyonlarından dolayı yan etkiler artabilir.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Sibutramin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Merkezi sinir sistemi </w:t>
      </w:r>
      <w:proofErr w:type="spellStart"/>
      <w:r w:rsidRPr="00366F2E">
        <w:rPr>
          <w:color w:val="auto"/>
          <w:spacing w:val="-2"/>
          <w:lang w:eastAsia="ja-JP"/>
        </w:rPr>
        <w:t>toksisitesi</w:t>
      </w:r>
      <w:proofErr w:type="spellEnd"/>
      <w:r w:rsidRPr="00366F2E">
        <w:rPr>
          <w:color w:val="auto"/>
          <w:spacing w:val="-2"/>
          <w:lang w:eastAsia="ja-JP"/>
        </w:rPr>
        <w:t xml:space="preserve"> riskinin artmasından dolayı birlikte kullanımı tavsiye edilmez.</w:t>
      </w:r>
    </w:p>
    <w:p w:rsidR="003D6FE0" w:rsidRPr="00366F2E" w:rsidRDefault="003D6FE0" w:rsidP="003D6FE0">
      <w:pPr>
        <w:pStyle w:val="NormalWeb"/>
        <w:jc w:val="both"/>
        <w:rPr>
          <w:color w:val="auto"/>
          <w:spacing w:val="-2"/>
          <w:lang w:eastAsia="ja-JP"/>
        </w:rPr>
      </w:pPr>
      <w:proofErr w:type="spellStart"/>
      <w:r w:rsidRPr="00366F2E">
        <w:rPr>
          <w:i/>
          <w:color w:val="auto"/>
          <w:spacing w:val="-2"/>
          <w:lang w:eastAsia="ja-JP"/>
        </w:rPr>
        <w:t>Sempatomimetikler</w:t>
      </w:r>
      <w:proofErr w:type="spellEnd"/>
      <w:r w:rsidRPr="00366F2E">
        <w:rPr>
          <w:i/>
          <w:color w:val="auto"/>
          <w:spacing w:val="-2"/>
          <w:lang w:eastAsia="ja-JP"/>
        </w:rPr>
        <w:t>:</w:t>
      </w:r>
      <w:r w:rsidRPr="00366F2E">
        <w:rPr>
          <w:color w:val="auto"/>
          <w:spacing w:val="-2"/>
          <w:lang w:eastAsia="ja-JP"/>
        </w:rPr>
        <w:t xml:space="preserve"> Hipertansiyon ve aritmiden dolayı </w:t>
      </w:r>
      <w:proofErr w:type="spellStart"/>
      <w:r w:rsidRPr="00366F2E">
        <w:rPr>
          <w:color w:val="auto"/>
          <w:spacing w:val="-2"/>
          <w:lang w:eastAsia="ja-JP"/>
        </w:rPr>
        <w:t>amitriptilin</w:t>
      </w:r>
      <w:proofErr w:type="spellEnd"/>
      <w:r w:rsidRPr="00366F2E">
        <w:rPr>
          <w:color w:val="auto"/>
          <w:spacing w:val="-2"/>
          <w:lang w:eastAsia="ja-JP"/>
        </w:rPr>
        <w:t xml:space="preserve">; adrenalin, </w:t>
      </w:r>
      <w:proofErr w:type="spellStart"/>
      <w:r w:rsidRPr="00366F2E">
        <w:rPr>
          <w:color w:val="auto"/>
          <w:spacing w:val="-2"/>
          <w:lang w:eastAsia="ja-JP"/>
        </w:rPr>
        <w:t>efedrin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isoprenalin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noradrenalin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fenilefrin</w:t>
      </w:r>
      <w:proofErr w:type="spellEnd"/>
      <w:r w:rsidRPr="00366F2E">
        <w:rPr>
          <w:color w:val="auto"/>
          <w:spacing w:val="-2"/>
          <w:lang w:eastAsia="ja-JP"/>
        </w:rPr>
        <w:t xml:space="preserve"> ve </w:t>
      </w:r>
      <w:proofErr w:type="spellStart"/>
      <w:r w:rsidRPr="00366F2E">
        <w:rPr>
          <w:color w:val="auto"/>
          <w:spacing w:val="-2"/>
          <w:lang w:eastAsia="ja-JP"/>
        </w:rPr>
        <w:t>fenilpropanolamin</w:t>
      </w:r>
      <w:proofErr w:type="spellEnd"/>
      <w:r w:rsidRPr="00366F2E">
        <w:rPr>
          <w:color w:val="auto"/>
          <w:spacing w:val="-2"/>
          <w:lang w:eastAsia="ja-JP"/>
        </w:rPr>
        <w:t xml:space="preserve"> gibi </w:t>
      </w:r>
      <w:proofErr w:type="spellStart"/>
      <w:r w:rsidRPr="00366F2E">
        <w:rPr>
          <w:color w:val="auto"/>
          <w:spacing w:val="-2"/>
          <w:lang w:eastAsia="ja-JP"/>
        </w:rPr>
        <w:t>sempatomimetik</w:t>
      </w:r>
      <w:proofErr w:type="spellEnd"/>
      <w:r w:rsidRPr="00366F2E">
        <w:rPr>
          <w:color w:val="auto"/>
          <w:spacing w:val="-2"/>
          <w:lang w:eastAsia="ja-JP"/>
        </w:rPr>
        <w:t xml:space="preserve"> ajanlarla birlikte verilmemelidir. Adrenalin ile yerel anestetikler güvenli gibi görünmektedir. </w:t>
      </w:r>
      <w:proofErr w:type="spellStart"/>
      <w:r w:rsidRPr="00366F2E">
        <w:rPr>
          <w:color w:val="auto"/>
          <w:spacing w:val="-2"/>
          <w:lang w:eastAsia="ja-JP"/>
        </w:rPr>
        <w:t>Metilfenidat</w:t>
      </w:r>
      <w:proofErr w:type="spellEnd"/>
      <w:r w:rsidRPr="00366F2E">
        <w:rPr>
          <w:color w:val="auto"/>
          <w:spacing w:val="-2"/>
          <w:lang w:eastAsia="ja-JP"/>
        </w:rPr>
        <w:t xml:space="preserve">, </w:t>
      </w:r>
      <w:proofErr w:type="spellStart"/>
      <w:r w:rsidRPr="00366F2E">
        <w:rPr>
          <w:color w:val="auto"/>
          <w:spacing w:val="-2"/>
          <w:lang w:eastAsia="ja-JP"/>
        </w:rPr>
        <w:t>trisikliklerin</w:t>
      </w:r>
      <w:proofErr w:type="spellEnd"/>
      <w:r w:rsidRPr="00366F2E">
        <w:rPr>
          <w:color w:val="auto"/>
          <w:spacing w:val="-2"/>
          <w:lang w:eastAsia="ja-JP"/>
        </w:rPr>
        <w:t xml:space="preserve"> metabolizmasını </w:t>
      </w:r>
      <w:proofErr w:type="spellStart"/>
      <w:r w:rsidRPr="00366F2E">
        <w:rPr>
          <w:color w:val="auto"/>
          <w:spacing w:val="-2"/>
          <w:lang w:eastAsia="ja-JP"/>
        </w:rPr>
        <w:t>inhibe</w:t>
      </w:r>
      <w:proofErr w:type="spellEnd"/>
      <w:r w:rsidRPr="00366F2E">
        <w:rPr>
          <w:color w:val="auto"/>
          <w:spacing w:val="-2"/>
          <w:lang w:eastAsia="ja-JP"/>
        </w:rPr>
        <w:t xml:space="preserve"> edebilir ve bu nedenle </w:t>
      </w:r>
      <w:proofErr w:type="spellStart"/>
      <w:r w:rsidRPr="00366F2E">
        <w:rPr>
          <w:color w:val="auto"/>
          <w:spacing w:val="-2"/>
          <w:lang w:eastAsia="ja-JP"/>
        </w:rPr>
        <w:t>amitiriptilinin</w:t>
      </w:r>
      <w:proofErr w:type="spellEnd"/>
      <w:r w:rsidRPr="00366F2E">
        <w:rPr>
          <w:color w:val="auto"/>
          <w:spacing w:val="-2"/>
          <w:lang w:eastAsia="ja-JP"/>
        </w:rPr>
        <w:t xml:space="preserve"> </w:t>
      </w:r>
      <w:proofErr w:type="spellStart"/>
      <w:r w:rsidRPr="00366F2E">
        <w:rPr>
          <w:color w:val="auto"/>
          <w:spacing w:val="-2"/>
          <w:lang w:eastAsia="ja-JP"/>
        </w:rPr>
        <w:t>antidepresan</w:t>
      </w:r>
      <w:proofErr w:type="spellEnd"/>
      <w:r w:rsidRPr="00366F2E">
        <w:rPr>
          <w:color w:val="auto"/>
          <w:spacing w:val="-2"/>
          <w:lang w:eastAsia="ja-JP"/>
        </w:rPr>
        <w:t xml:space="preserve"> etkisini arttırır.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4.6. Gebelik ve laktasyon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Genel tavsiye</w:t>
      </w:r>
    </w:p>
    <w:p w:rsidR="003D6FE0" w:rsidRPr="00366F2E" w:rsidRDefault="003D6FE0" w:rsidP="003D6FE0">
      <w:pPr>
        <w:tabs>
          <w:tab w:val="left" w:pos="26"/>
          <w:tab w:val="left" w:pos="260"/>
          <w:tab w:val="left" w:pos="551"/>
          <w:tab w:val="left" w:pos="1164"/>
          <w:tab w:val="left" w:pos="1690"/>
          <w:tab w:val="left" w:pos="2303"/>
          <w:tab w:val="left" w:pos="2829"/>
          <w:tab w:val="left" w:pos="3442"/>
          <w:tab w:val="left" w:pos="3968"/>
          <w:tab w:val="left" w:pos="4581"/>
          <w:tab w:val="left" w:pos="5106"/>
          <w:tab w:val="left" w:pos="5720"/>
          <w:tab w:val="left" w:pos="6245"/>
          <w:tab w:val="right" w:pos="6508"/>
          <w:tab w:val="left" w:pos="6858"/>
          <w:tab w:val="left" w:pos="7384"/>
          <w:tab w:val="left" w:pos="7910"/>
          <w:tab w:val="left" w:pos="8523"/>
          <w:tab w:val="left" w:pos="9048"/>
          <w:tab w:val="left" w:pos="9662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Gebelik kategorisi: D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/>
          <w:b/>
          <w:spacing w:val="-2"/>
          <w:sz w:val="24"/>
          <w:szCs w:val="24"/>
        </w:rPr>
        <w:t>Çocuk do</w:t>
      </w:r>
      <w:r w:rsidRPr="00366F2E">
        <w:rPr>
          <w:rFonts w:ascii="Times New Roman" w:hAnsi="Times New Roman" w:hint="eastAsia"/>
          <w:b/>
          <w:spacing w:val="-2"/>
          <w:sz w:val="24"/>
          <w:szCs w:val="24"/>
        </w:rPr>
        <w:t>ğ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>urma potansiyeli bulunan kad</w:t>
      </w:r>
      <w:r w:rsidRPr="00366F2E">
        <w:rPr>
          <w:rFonts w:ascii="Times New Roman" w:hAnsi="Times New Roman" w:hint="eastAsia"/>
          <w:b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>nlar/Do</w:t>
      </w:r>
      <w:r w:rsidRPr="00366F2E">
        <w:rPr>
          <w:rFonts w:ascii="Times New Roman" w:hAnsi="Times New Roman" w:hint="eastAsia"/>
          <w:b/>
          <w:spacing w:val="-2"/>
          <w:sz w:val="24"/>
          <w:szCs w:val="24"/>
        </w:rPr>
        <w:t>ğ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>um kontrolü (</w:t>
      </w:r>
      <w:proofErr w:type="spellStart"/>
      <w:r w:rsidRPr="00366F2E">
        <w:rPr>
          <w:rFonts w:ascii="Times New Roman" w:hAnsi="Times New Roman"/>
          <w:b/>
          <w:spacing w:val="-2"/>
          <w:sz w:val="24"/>
          <w:szCs w:val="24"/>
        </w:rPr>
        <w:t>Kontrasepsiyon</w:t>
      </w:r>
      <w:proofErr w:type="spellEnd"/>
      <w:r w:rsidRPr="00366F2E">
        <w:rPr>
          <w:rFonts w:ascii="Times New Roman" w:hAnsi="Times New Roman"/>
          <w:b/>
          <w:spacing w:val="-2"/>
          <w:sz w:val="24"/>
          <w:szCs w:val="24"/>
        </w:rPr>
        <w:t>)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Amitriptilin’in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gebelik ve/veya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fetus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/yeni do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ğ</w:t>
      </w:r>
      <w:r w:rsidRPr="00366F2E">
        <w:rPr>
          <w:rFonts w:ascii="Times New Roman" w:hAnsi="Times New Roman"/>
          <w:spacing w:val="-2"/>
          <w:sz w:val="24"/>
          <w:szCs w:val="24"/>
        </w:rPr>
        <w:t>an üzerinde zararl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farmakolojik etkileri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bulunmaktad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r. 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gerekli olmad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>kça gebelik döneminde kullan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>lmamal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>d</w:t>
      </w:r>
      <w:r w:rsidRPr="00366F2E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r. 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/>
          <w:b/>
          <w:spacing w:val="-2"/>
          <w:sz w:val="24"/>
          <w:szCs w:val="24"/>
        </w:rPr>
        <w:t xml:space="preserve">Gebelik dönemi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gebelikte özellikle de ilk ve son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trimesterde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kullanılmamalıdır. Gebeliğin son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trimesterinde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verilen trisiklik antidepresanlar yoksunluk semptomları,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fetusta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solunum depresyonu ve ajitasyon gibi yan etkilere neden olurlar. İdrar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retansiyonu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annedeki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miktarı ile ilişkilidir.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Gebelik döneminde güvenliliği kanıtlanmamıştır.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/>
          <w:b/>
          <w:spacing w:val="-2"/>
          <w:sz w:val="24"/>
          <w:szCs w:val="24"/>
        </w:rPr>
        <w:t>Laktasyon dönemi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anne sütüne geçebilir. Bu nedenle emzirme sırasında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kullanılmamalıdır.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Laktasyon döneminde güvenliliği kanıtlanmamıştır.</w:t>
      </w: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4.7. Araç ve makine kullan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m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üzerindeki etkiler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Bu tip tüm ilaçlar gibi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Laroxyl'in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de, hastanın dikkatini zayıflatabileceği ve alkolün santral sinir sistemi (SSS) üzerindeki etkilerini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potansiyelize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edeceğinden, hastanın beceri gerektiren işlerdeki (araba kullanma, makine kullanma vs) performansını değiştirebileceğinden hastalar uyarılmalıdır.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4.8. İstenmeyen etkiler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lastRenderedPageBreak/>
        <w:t>Çok yayg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 (≥1/10); yayg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 (≥1/100 ila &lt;1/10); yayg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Pr="00366F2E">
        <w:rPr>
          <w:rFonts w:ascii="Times New Roman" w:hAnsi="Times New Roman"/>
          <w:sz w:val="24"/>
          <w:szCs w:val="24"/>
        </w:rPr>
        <w:t>n olmayan (≥1/1.000 ila &lt;1/100); seyrek (≥1/10.000 ila &lt;1/1.000); çok seyrek (&lt;1/10.000), bilinmiyor (eldeki verilerden hareketle tahmin edilemiyor).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Alerjik reaksiyonlar: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Bilinmiyor: Ciltte döküntüler, ürtiker,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fotosensitizasyon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, yüz ve dilde ödem.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 xml:space="preserve">Kan ve  lenfatik sistem hastalıkları: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Bilinmiyor: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Agranülositoz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eozinofili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lökopeni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trombositopeni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purpura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da dahil olmak üzere kemik iliği depresyonu.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 xml:space="preserve">Endokrin hastalıkları: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Bilinmiyor: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Jinekomasti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göğüs büyümesi,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galaktorea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testiküler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şişme, libido dalgalanmaları, cinsel fonksiyon bozuklukları, uygun olmayan ADH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antidiüretik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hormon) salgısı sendromu.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</w:t>
      </w:r>
      <w:r w:rsidRPr="00366F2E">
        <w:rPr>
          <w:rFonts w:ascii="Times New Roman" w:hAnsi="Times New Roman"/>
          <w:b/>
          <w:spacing w:val="-2"/>
          <w:sz w:val="24"/>
          <w:szCs w:val="24"/>
        </w:rPr>
        <w:t xml:space="preserve">Metabolizma ve beslenme bozuklukları: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Bilinmiyor: Kan şekeri seviyelerinde yükselme veya düşme. İştah artışı ve kilo alımı, ilaç reaksiyonu olabilir veya depresyonun hafiflemesinden kaynaklanabilir.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Psikiyatrik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Seyrek: Cinsel fonksiyonda değişiklik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Mani ve </w:t>
      </w:r>
      <w:proofErr w:type="spellStart"/>
      <w:r w:rsidRPr="00366F2E">
        <w:rPr>
          <w:rFonts w:ascii="Times New Roman" w:hAnsi="Times New Roman"/>
          <w:sz w:val="24"/>
          <w:szCs w:val="24"/>
        </w:rPr>
        <w:t>paranoid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hezeyanlar gibi psikoza bağlı belirtiler trisiklik </w:t>
      </w:r>
      <w:proofErr w:type="spellStart"/>
      <w:r w:rsidRPr="00366F2E">
        <w:rPr>
          <w:rFonts w:ascii="Times New Roman" w:hAnsi="Times New Roman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tedavisi sırasında şiddetlenebilirler.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Sinir sistemi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Yaygın: Uyuşukluk, baş dönmesi, </w:t>
      </w:r>
      <w:proofErr w:type="spellStart"/>
      <w:r w:rsidRPr="00366F2E">
        <w:rPr>
          <w:rFonts w:ascii="Times New Roman" w:hAnsi="Times New Roman"/>
          <w:sz w:val="24"/>
          <w:szCs w:val="24"/>
        </w:rPr>
        <w:t>akomodasyon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bozuklukları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Seyrek: Baş ağrısı,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6F2E">
        <w:rPr>
          <w:rFonts w:ascii="Times New Roman" w:hAnsi="Times New Roman"/>
          <w:sz w:val="24"/>
          <w:szCs w:val="24"/>
        </w:rPr>
        <w:t>tremor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Yorgunluk, uyku hali, halsizlik, konsantrasyon bozukluğu,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disoryantasyon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konfüzyonel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durumlar, uykusuzluk, kabus görme,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delüzyonlar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halüsinasyonlar,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hipomani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heyecan,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anksiyete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huzursuzluk, periferik nöropati, hissizlik,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ekstremitelerde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karıncalanma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parestezi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inkoordinasyon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ataksi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konvülsiyonlar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ECG değişimi,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ekstrapiramidal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etkiler, kulak çınlaması.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tedavide veya tedavinin kesilmesinden kısa bir süre sonra intihar düşüncesi ve intihar davranışları vakaları bildirilmiştir.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 şunlardır: ağız kuruluğu,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hiperpireksi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bulanık görme,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akomodasyon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bozuklukları,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intraoküler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basınç artışı,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midriyazis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konstipasyon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paralitik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ileus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üriner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retansiyon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idrar yolu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dilatasyonu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Göz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lastRenderedPageBreak/>
        <w:t xml:space="preserve">Yaygın: </w:t>
      </w:r>
      <w:proofErr w:type="spellStart"/>
      <w:r w:rsidRPr="00366F2E">
        <w:rPr>
          <w:rFonts w:ascii="Times New Roman" w:hAnsi="Times New Roman"/>
          <w:sz w:val="24"/>
          <w:szCs w:val="24"/>
        </w:rPr>
        <w:t>İntraoküler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basınç artması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Kardiyak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Yaygın: Taşikardi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Seyrek: Hipotansiyon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Postural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hipotansiyon, hipertansiyon,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palpitasyonlar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miyokard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enfarktüsü, kalp bloğu ve felç. </w:t>
      </w:r>
      <w:proofErr w:type="spellStart"/>
      <w:r w:rsidRPr="00366F2E">
        <w:rPr>
          <w:rFonts w:ascii="Times New Roman" w:hAnsi="Times New Roman"/>
          <w:sz w:val="24"/>
          <w:szCs w:val="24"/>
        </w:rPr>
        <w:t>Amitriptilinin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yüksek dozları ile veya kişinin aşırı dozda uygulaması ile kardiyak aritmilerin ve ciddi hipotansiyonun görülmesi olasıdır. Ayrıca, daha önceden kalp hastalığı bulunan hastalarda normal dozda bile görülebilirler.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Gastrointestinal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Yaygın: Ağız kuruluğu, kabızlık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Seyrek: Gastrointestinal bozukluklar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366F2E">
        <w:rPr>
          <w:rFonts w:ascii="Times New Roman" w:hAnsi="Times New Roman"/>
          <w:b/>
          <w:spacing w:val="-2"/>
          <w:sz w:val="24"/>
          <w:szCs w:val="24"/>
        </w:rPr>
        <w:t>Hepatobiliyer</w:t>
      </w:r>
      <w:proofErr w:type="spellEnd"/>
      <w:r w:rsidRPr="00366F2E">
        <w:rPr>
          <w:rFonts w:ascii="Times New Roman" w:hAnsi="Times New Roman"/>
          <w:b/>
          <w:spacing w:val="-2"/>
          <w:sz w:val="24"/>
          <w:szCs w:val="24"/>
        </w:rPr>
        <w:t xml:space="preserve"> hastalıklar: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Seyrek: Hepatit (karaciğer fonksiyonunda değişme ve sarılık da dahil olmak üzere).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Deri ve deri alt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doku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Seyrek: Deri döküntüleri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 w:hint="eastAsia"/>
          <w:b/>
          <w:sz w:val="24"/>
          <w:szCs w:val="24"/>
        </w:rPr>
        <w:t>•</w:t>
      </w:r>
      <w:r w:rsidRPr="00366F2E">
        <w:rPr>
          <w:rFonts w:ascii="Times New Roman" w:hAnsi="Times New Roman"/>
          <w:b/>
          <w:sz w:val="24"/>
          <w:szCs w:val="24"/>
        </w:rPr>
        <w:t xml:space="preserve">  Böbrek ve idrar hastal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klar</w:t>
      </w:r>
      <w:r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Yaygın: İdrar tutukluğu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Seyrek: İdrar </w:t>
      </w:r>
      <w:proofErr w:type="spellStart"/>
      <w:r w:rsidRPr="00366F2E">
        <w:rPr>
          <w:rFonts w:ascii="Times New Roman" w:hAnsi="Times New Roman"/>
          <w:sz w:val="24"/>
          <w:szCs w:val="24"/>
        </w:rPr>
        <w:t>retansiyonu</w:t>
      </w:r>
      <w:proofErr w:type="spellEnd"/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Yaşlı hastalar yan etkilere daha duyarlıdırlar ve tedaviye düşük dozda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başlanmalıdır.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Kan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diskrazileri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ikter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hipomani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konvülsiyon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periferik nöropati görülen izole vakalar da bildirilmiştir.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Sınıf etkileri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Epidemiyolojik çalışmalar, selektif serotonin geri alım inhibitörleri ve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alan hastalarda kemik kırığı riskinin arttığını göstermiştir. Bu risk artışına neden olan mekanizma bilinmemektedir.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Uzun süreli uygulamadan sonra ani geri çekilme; mide bulantısı, baş ağrısı ve halsizliğe neden olmuştur. Doz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azaltımının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ilk iki haftasında kademeli geri çekme; rüya ve uyku bozuklukları,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irritabilite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huzursuzluk gibi geçici semptomlarla ilişkilendirilmiştir. Bunların, bağımlılığa bağlı işaretler olduğu düşünülmemektedir.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antidepresanlarla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tedavinin sona erdirilmesinden sonraki 2-7 gün içinde nadiren mani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hipomani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bildirilmiştir.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Enüreziste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yan etkiler: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Enüreziste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kullanılan dozlar depresyonda kullanılan dozlara kıyasla düşük olduğu için, yan etkilerin sıklığı da daha düşüktür. En yaygın olarak görülen yan etkiler uyku hali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etkilerdir. Sıklıkla olmasa da, hafif terleme ve kaşınma bildirilmiştir.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Enürezisin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tedavisi için trisiklik alan çocuklarda davranış değişiklikleri gözlemlenmiştir.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D439F" w:rsidRPr="00366F2E" w:rsidRDefault="006D439F" w:rsidP="006D439F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366F2E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366F2E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366F2E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6D439F" w:rsidRPr="00366F2E" w:rsidRDefault="006D439F" w:rsidP="006D439F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366F2E">
        <w:rPr>
          <w:rFonts w:ascii="Times New Roman" w:hAnsi="Times New Roman"/>
          <w:sz w:val="24"/>
          <w:szCs w:val="24"/>
          <w:lang w:eastAsia="nl-NL"/>
        </w:rPr>
        <w:t>Ruhsatland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rma sonras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366F2E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366F2E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n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n raporlanmas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366F2E">
        <w:rPr>
          <w:rFonts w:ascii="Times New Roman" w:hAnsi="Times New Roman"/>
          <w:sz w:val="24"/>
          <w:szCs w:val="24"/>
          <w:lang w:eastAsia="nl-NL"/>
        </w:rPr>
        <w:t>maktad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lmas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, ilac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366F2E">
        <w:rPr>
          <w:rFonts w:ascii="Times New Roman" w:hAnsi="Times New Roman"/>
          <w:sz w:val="24"/>
          <w:szCs w:val="24"/>
          <w:lang w:eastAsia="nl-NL"/>
        </w:rPr>
        <w:t>lar. Sa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366F2E">
        <w:rPr>
          <w:rFonts w:ascii="Times New Roman" w:hAnsi="Times New Roman"/>
          <w:sz w:val="24"/>
          <w:szCs w:val="24"/>
          <w:lang w:eastAsia="nl-NL"/>
        </w:rPr>
        <w:t>l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k mesle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366F2E">
        <w:rPr>
          <w:rFonts w:ascii="Times New Roman" w:hAnsi="Times New Roman"/>
          <w:sz w:val="24"/>
          <w:szCs w:val="24"/>
          <w:lang w:eastAsia="nl-NL"/>
        </w:rPr>
        <w:t>i mensuplar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>n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366F2E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366F2E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366F2E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366F2E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366F2E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hyperlink r:id="rId8" w:history="1">
        <w:r w:rsidR="00130255" w:rsidRPr="00366F2E">
          <w:rPr>
            <w:rStyle w:val="Kpr"/>
            <w:rFonts w:ascii="Times New Roman" w:hAnsi="Times New Roman"/>
            <w:color w:val="auto"/>
            <w:sz w:val="24"/>
            <w:szCs w:val="24"/>
            <w:lang w:eastAsia="nl-NL"/>
          </w:rPr>
          <w:t>www.titck.gov.tr</w:t>
        </w:r>
      </w:hyperlink>
      <w:r w:rsidRPr="00366F2E">
        <w:rPr>
          <w:rFonts w:ascii="Times New Roman" w:hAnsi="Times New Roman"/>
          <w:sz w:val="24"/>
          <w:szCs w:val="24"/>
          <w:lang w:eastAsia="nl-NL"/>
        </w:rPr>
        <w:t>;</w:t>
      </w:r>
      <w:r w:rsidR="00130255" w:rsidRPr="00366F2E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366F2E">
        <w:rPr>
          <w:rFonts w:ascii="Times New Roman" w:hAnsi="Times New Roman"/>
          <w:sz w:val="24"/>
          <w:szCs w:val="24"/>
          <w:lang w:eastAsia="nl-NL"/>
        </w:rPr>
        <w:t xml:space="preserve">e-posta: </w:t>
      </w:r>
      <w:proofErr w:type="spellStart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366F2E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366F2E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6D439F" w:rsidRPr="00366F2E" w:rsidRDefault="006D439F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4.9. Doz aşımı ve tedavisi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zehirlenmesinin spesifik bir antidotu yoktur. Hastalar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hospitalize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edilmelidir ve tedavi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semptomatik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olmalı ve kardiyak destek (EKG ile izleme de dahil olmak üzere) ve solunum desteğine dayandırılmalıdır.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Semptomlar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Toksisitenin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nedeni;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otonomik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sinir uçlarında ve beyinde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antikolinerjik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antimuskarinik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atropin benzeri) etkiler, kardiyak sodyum kanalı blokajı ve a1 adrenerjik reseptör blokajının birleşimidir. Buna ek olarak, trisiklik antidepresanlar aminlerin ve kardiyak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geçiktirici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-düzeltici potasyum kanalının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Ikr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)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pre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-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snaptik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alımını bloklar.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Özellikler yaygın olarak şunlardır: sinüs taşikardi, sıcak kuru cilt, ağız ve dil kuruluğu, büyümüş göz bebekleri,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üriner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retansiyon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ileus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ataksiye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ilerleme,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nistagmus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ıraksak şaşılık ve derin koma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respiratuar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depresyona neden olabilecek uyku hali.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Ekstansör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plantar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refleksleri ile artmış ton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hiperrefleksi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görülebilir. Derin komada, (beyin sapı refleksleri de dahil olmak üzere) tüm refleksler durabilir. Vakaların &gt;%5’inde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konvülsiyonlar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görülür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hemodinamik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uyuşmanın habercisi olabilir.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EKG özellikleri şunlardır: PR, QRS ve QT aralıklarının uzaması, spesifik olmayan ST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segmenti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T dalgası değişiklikleri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atriyoventriküler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blok.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Metabolik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asidoz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mevcut olabilir. Hipotansiyon görülebilir ve şiddetli olabilir.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Bilinci kapalı hastalarda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hipotermi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rabdomiyoliz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görülebilir. Zaman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zaman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deride kabartılar görülebilir.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İyileşme (canlanma) sırasında;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konfüzyon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, ajitasyon ve görsel halüsinasyonlar görülebilir.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Serotonin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toksisitesi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özellikleri görülebilir. Bunlar şunlardır: merkezi sinir sistemi etkileri (ajitasyon veya koma da dahil olmak üzere),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otonomik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instabilite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hiperpreksi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 dahil olmak üzere)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nöromusküler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eksitabilite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klonüs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yükselmiş serum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kreatin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kinazı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da dahil olmak üzere).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Bu sendrom, eğer hastada akut doz aşımı varsa veya düzenli alındığında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serotonerjik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sinapslarda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serotonik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etkisini (salımı arttırarak, geri alımı veya metabolizmayı azaltarak veya serotonin reseptörlerini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stimüle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ederek) arttıran iki veya daha fazla ilaca, örneğin selektif serotonin geri alım inhibitörleri,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monoamin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oksidaz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inhibitörleri, trisiklik antidepresanlar,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venlafaksin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tramadol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triptans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linezolid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John's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Wort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uyarıcı ilaç kullanımı (örn. MDMA, amfetaminler, kokain,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cathinone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türevleri (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mefedron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vb.)), maruz kaldıysa bu sendromun görülme ihtimali daha yüksektir.,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Aşırı dozdaki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kardiyovasküler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etkiler ve merkezi sinir sistemi etkileri; alkol,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kardiyovasküler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ajanlar ve diğer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psikotropik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ilaçların eş zamanlı alımı ile artacaktır.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Tedavi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Karma doz aşımlarında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benzodiazepin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toksisitesini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tersine çevirmek için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flumazenil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vermeyin.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1. Hava yolunun açık olduğundan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ventilasyonun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yeterli olduğundan emin olun.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Arteriyal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kan gazlarını kontrol edin ve her tür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hipoksiyi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düzeltin.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Hiperkapni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mevcutsa,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ventilasyon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desteği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2.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Gastrik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dekontaminasyonun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faydası belirsizdir. Hava yolunun korunmuş olması koşuluyla, eğer hasta 5 mg/kg alımdan sonraki 1 saat içinde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gastrik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dekontaminasyon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sergilerse, ağız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nazo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>-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gastrik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tüp yoluyla aktif kömür göz önünde bulundurulmalıdır.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Toksisite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özellikleri olan ve yutabilen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kanül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sokulmuş hastalarda 1-2 saat sonra ikinci doz kömür düşünülmelidir.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3. Kardiyak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arrest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sonrası, uzun süreli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resüsitasyon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başarılı olabilir ve en az 1 saat süreyle devam ettirilmelidir.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4. Alımdan sonraki en az 6 saat süreyle gözlemleyin. BP, nabız ve kardiyak ritmi izleyin. Tekrarlayan EKG’ler gerçekleştirilmelidir. 6 saate kadar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asemptomatik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kalan ve EKG’si normal olan hastaların, geç komplikasyon geliştirmesi olası değildir.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5. Üre ve elektrolitleri kontrol edin ve idrar sonucunu izleyin. Bilinci kapalı olan hastalarda serum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kreatin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kinazını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kontrol edin.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6.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Hipoksinin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düzeltilmesine ve yeterli sıvı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resüsitasyonuna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rağmen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metabolik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asidoz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devam ediyorsa,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intravenöz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sodyum bikarbonat ile düzeltmeyi göz önünde bulundurun. QRS veya QT aralıklarının uzaması söz konusuysa, hızla düzeltme özellikle önemlidir.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7.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İntravenöz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diazepam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lorazpam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konvülsiyonları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kontrol edilin. Oksijen verin ve asit bazını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metabolik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bozuklukları düzeltin. Trisiklik doz aşımında fenitoin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kontraendikedir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(çünkü trisiklik antidepresanlar ile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birlike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sodyum kanallarını bloklar ve kardiyak aritmi riskini arttırabilir).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8. Yatağın ayağını yükselterek hipotansiyonu düzeltin. Şiddetli vakalarda,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intravasküler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hacmin genişletilmesi için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kolloid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uygulanması gereklidir (merkezi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venöz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basıncın izlenmesi gerekebilir). Sodyum bikarbonat ile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alkalinizasyon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hipotansiyonu düzeltebilir.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9. Ajite olmuş yetişkinler oral veya IV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diazepam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ile sakinleştirilebilir. etkisizse, oral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parenteral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haloperidol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göz önünde bulundurulmalıdır.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10. Hastalar şiddetli biçimde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hipotansif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ise,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Glukagon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10mg IV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bolus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verilebilir.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11. Eğer hasta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hipotermik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ise, konvansiyonel araçlarla tekrar yavaşça ısıtın.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12. Eğer hasta uzun bir süre bilinci kapalı kaldıysa,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rabdomiyoliz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ihtimaline karşı izleyin. 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13.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antidepresanların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geniş dağılım hacmi nedeniyle, zorla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diüresis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hemodiyaliz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hemoperfüzyonun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hiçbir değeri yoktur.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14. Hastanın klinik durumuna göre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endike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olan diğer önlemler.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Doz aşımı genellikle bilerek gerçekleştiği için, hastalar iyileşme sürecinde diğer araçlarla intihar girişiminde bulunabilir. Bu ilaç sınıfındaki tedavilerde, kasıtlı veya kazara doz aşımı ile ölüm gerçekleşmiştir.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D6FE0" w:rsidRPr="00366F2E" w:rsidRDefault="003D6FE0" w:rsidP="003D6FE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5. </w:t>
      </w:r>
      <w:r w:rsidRPr="00366F2E">
        <w:rPr>
          <w:rFonts w:ascii="Times New Roman" w:hAnsi="Times New Roman"/>
          <w:b/>
          <w:sz w:val="24"/>
          <w:szCs w:val="24"/>
        </w:rPr>
        <w:tab/>
        <w:t>FARMAKOLOJİK ÖZELLİKLER</w:t>
      </w: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5.1.</w:t>
      </w:r>
      <w:r w:rsidRPr="00366F2E">
        <w:rPr>
          <w:rFonts w:ascii="Times New Roman" w:hAnsi="Times New Roman"/>
          <w:b/>
          <w:sz w:val="24"/>
          <w:szCs w:val="24"/>
        </w:rPr>
        <w:tab/>
        <w:t>Farmakodinamik özellikler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Farmakoterapötik grubu: Non-selektif </w:t>
      </w:r>
      <w:proofErr w:type="spellStart"/>
      <w:r w:rsidRPr="00366F2E">
        <w:rPr>
          <w:rFonts w:ascii="Times New Roman" w:hAnsi="Times New Roman"/>
          <w:sz w:val="24"/>
          <w:szCs w:val="24"/>
        </w:rPr>
        <w:t>Monoamin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z w:val="24"/>
          <w:szCs w:val="24"/>
        </w:rPr>
        <w:t>Reuptake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İnhibitörleri,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ATC kodu: N06AA09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, trisiklik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bir ilaçtır.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Antidepresan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etkisinin beyinde,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noradrenalin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serotonin geri emiliminin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inhibe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edilmesine bağlı olarak ortaya çıktığı düşünülmektedir.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5.2.</w:t>
      </w:r>
      <w:r w:rsidRPr="00366F2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366F2E">
        <w:rPr>
          <w:rFonts w:ascii="Times New Roman" w:hAnsi="Times New Roman"/>
          <w:b/>
          <w:sz w:val="24"/>
          <w:szCs w:val="24"/>
        </w:rPr>
        <w:t>Farmakokinetik</w:t>
      </w:r>
      <w:proofErr w:type="spellEnd"/>
      <w:r w:rsidRPr="00366F2E">
        <w:rPr>
          <w:rFonts w:ascii="Times New Roman" w:hAnsi="Times New Roman"/>
          <w:b/>
          <w:sz w:val="24"/>
          <w:szCs w:val="24"/>
        </w:rPr>
        <w:t xml:space="preserve"> özellikler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Genel özellikler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Emilim: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gastrointestinal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kanaldan çok iyi emilir. Oral uygulamayı takiben yaklaşık 6 saat içinde pik plazma konsantrasyonlarına ulaşır.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 xml:space="preserve">Dağılım: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nortriptilin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tüm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vucuda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dağılırlar ve yüksek oranda plazma ve doku proteinlerine bağlanırlar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Biyotransformasyon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büyük oranda ilk geçiş etkisine maruz kalır ve karaciğerde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demetilasyona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uğrayarak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primer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aktif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metaboliti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olan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nortriptiline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dönüşür.</w:t>
      </w:r>
    </w:p>
    <w:p w:rsidR="003D6FE0" w:rsidRPr="00366F2E" w:rsidRDefault="003D6FE0" w:rsidP="003D6FE0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Eliminasyon: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eliminasyon yarı ömrünün 9 – 36 saat arasında olduğu hesaplanmıştır.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nortriptilin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plasenta bariyerlerini aşarlar ve anne sütüne geçerler.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diğer metabolizma yolları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hidroksilasyon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ve N-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oksidasyonu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da kapsar.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başlıca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metabolit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formunda olmak üzere, serbest veya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konjuge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formda idrar ile atılır.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>Doğrusallık/Doğrusal olmayan durum: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kinetiği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linear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özellik göstermektedir.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amitriptilin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yüksek ve düşük dozlardaki konsantrasyon/doz oranı anlamlı ölçüde farklı değildir ve doz oranları ve konsantrasyon oranları arasında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linear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bir ilişki bulunmaktadır.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D6FE0" w:rsidRPr="00366F2E" w:rsidRDefault="003D6FE0" w:rsidP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5.3. Klinik öncesi güvenlilik verileri  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Yoktur.</w:t>
      </w:r>
    </w:p>
    <w:p w:rsidR="003D6FE0" w:rsidRPr="00366F2E" w:rsidRDefault="003D6FE0" w:rsidP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C671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6.</w:t>
      </w:r>
      <w:r w:rsidRPr="00366F2E">
        <w:rPr>
          <w:rFonts w:ascii="Times New Roman" w:hAnsi="Times New Roman"/>
          <w:b/>
          <w:sz w:val="24"/>
          <w:szCs w:val="24"/>
        </w:rPr>
        <w:tab/>
        <w:t>FARMASÖTİK ÖZELLİKLERİ</w:t>
      </w:r>
    </w:p>
    <w:p w:rsidR="00964C69" w:rsidRPr="00366F2E" w:rsidRDefault="004C6717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6.1.</w:t>
      </w:r>
      <w:r w:rsidRPr="00366F2E">
        <w:rPr>
          <w:rFonts w:ascii="Times New Roman" w:hAnsi="Times New Roman"/>
          <w:b/>
          <w:sz w:val="24"/>
          <w:szCs w:val="24"/>
        </w:rPr>
        <w:tab/>
        <w:t xml:space="preserve">Yardımcı </w:t>
      </w:r>
      <w:r w:rsidR="005E40C5" w:rsidRPr="00366F2E">
        <w:rPr>
          <w:rFonts w:ascii="Times New Roman" w:hAnsi="Times New Roman"/>
          <w:b/>
          <w:sz w:val="24"/>
          <w:szCs w:val="24"/>
        </w:rPr>
        <w:t>maddelerin listesi</w:t>
      </w:r>
      <w:r w:rsidR="005E40C5" w:rsidRPr="00366F2E">
        <w:rPr>
          <w:rFonts w:ascii="Times New Roman" w:hAnsi="Times New Roman"/>
          <w:b/>
          <w:sz w:val="24"/>
          <w:szCs w:val="24"/>
        </w:rPr>
        <w:tab/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 xml:space="preserve">Çekirdek tablet: 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Mısır nişastası 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Povidon</w:t>
      </w:r>
      <w:proofErr w:type="spellEnd"/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Talk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Magnezyum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stearat</w:t>
      </w:r>
      <w:proofErr w:type="spellEnd"/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366F2E">
        <w:rPr>
          <w:rFonts w:ascii="Times New Roman" w:hAnsi="Times New Roman"/>
          <w:spacing w:val="-2"/>
          <w:sz w:val="24"/>
          <w:szCs w:val="24"/>
          <w:u w:val="single"/>
        </w:rPr>
        <w:t xml:space="preserve">Kaplama: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Arap zamkı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lastRenderedPageBreak/>
        <w:t xml:space="preserve">Talk, Pirinç nişastası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Titanyum dioksit (E171)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Demir oksit kırmızı (E172)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Etil selüloz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Polietilen glikol 6000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Metakrilik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asit kopolimeri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Katı parafin </w:t>
      </w:r>
    </w:p>
    <w:p w:rsidR="00964C69" w:rsidRPr="00366F2E" w:rsidRDefault="004850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Sıvı parafin </w:t>
      </w:r>
    </w:p>
    <w:p w:rsidR="00964C69" w:rsidRPr="00366F2E" w:rsidRDefault="00964C6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</w:p>
    <w:p w:rsidR="00964C69" w:rsidRPr="00366F2E" w:rsidRDefault="0048506B">
      <w:pPr>
        <w:numPr>
          <w:ilvl w:val="1"/>
          <w:numId w:val="12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 Geçimsizlikler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Yoktur.</w:t>
      </w:r>
    </w:p>
    <w:p w:rsidR="003D6FE0" w:rsidRPr="00366F2E" w:rsidRDefault="003D6FE0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64C69" w:rsidRPr="00366F2E" w:rsidRDefault="0048506B">
      <w:pPr>
        <w:numPr>
          <w:ilvl w:val="1"/>
          <w:numId w:val="12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 xml:space="preserve"> Raf ömrü</w:t>
      </w:r>
    </w:p>
    <w:p w:rsidR="0048506B" w:rsidRPr="00366F2E" w:rsidRDefault="00980441" w:rsidP="0048506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>60</w:t>
      </w:r>
      <w:r w:rsidR="0048506B" w:rsidRPr="00366F2E">
        <w:rPr>
          <w:rFonts w:ascii="Times New Roman" w:hAnsi="Times New Roman"/>
          <w:spacing w:val="-2"/>
          <w:sz w:val="24"/>
          <w:szCs w:val="24"/>
        </w:rPr>
        <w:t xml:space="preserve"> ay</w:t>
      </w:r>
      <w:r w:rsidR="00460773"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3D6FE0" w:rsidRPr="00366F2E" w:rsidRDefault="003D6FE0" w:rsidP="0048506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64C69" w:rsidRPr="00366F2E" w:rsidRDefault="0048506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6.4.</w:t>
      </w:r>
      <w:r w:rsidRPr="00366F2E">
        <w:rPr>
          <w:rFonts w:ascii="Times New Roman" w:hAnsi="Times New Roman"/>
          <w:b/>
          <w:sz w:val="24"/>
          <w:szCs w:val="24"/>
        </w:rPr>
        <w:tab/>
      </w:r>
      <w:r w:rsidR="004C6717" w:rsidRPr="00366F2E">
        <w:rPr>
          <w:rFonts w:ascii="Times New Roman" w:hAnsi="Times New Roman"/>
          <w:b/>
          <w:sz w:val="24"/>
          <w:szCs w:val="24"/>
        </w:rPr>
        <w:t>Saklamaya yönelik özel tedbirler</w:t>
      </w:r>
    </w:p>
    <w:p w:rsidR="00964C69" w:rsidRPr="00366F2E" w:rsidRDefault="0048506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30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  <w:vertAlign w:val="superscript"/>
        </w:rPr>
        <w:t>o</w:t>
      </w:r>
      <w:r w:rsidRPr="00366F2E">
        <w:rPr>
          <w:rFonts w:ascii="Times New Roman" w:hAnsi="Times New Roman"/>
          <w:spacing w:val="-2"/>
          <w:sz w:val="24"/>
          <w:szCs w:val="24"/>
        </w:rPr>
        <w:t>C'nin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altındaki oda sıcaklığında saklayınız.</w:t>
      </w:r>
    </w:p>
    <w:p w:rsidR="003D6FE0" w:rsidRPr="00366F2E" w:rsidRDefault="003D6FE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64C69" w:rsidRPr="00366F2E" w:rsidRDefault="0048506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6.5.</w:t>
      </w:r>
      <w:r w:rsidRPr="00366F2E">
        <w:rPr>
          <w:rFonts w:ascii="Times New Roman" w:hAnsi="Times New Roman"/>
          <w:b/>
          <w:sz w:val="24"/>
          <w:szCs w:val="24"/>
        </w:rPr>
        <w:tab/>
      </w:r>
      <w:r w:rsidR="004C6717" w:rsidRPr="00366F2E">
        <w:rPr>
          <w:rFonts w:ascii="Times New Roman" w:hAnsi="Times New Roman"/>
          <w:b/>
          <w:sz w:val="24"/>
          <w:szCs w:val="24"/>
        </w:rPr>
        <w:t>Ambalaj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ı</w:t>
      </w:r>
      <w:r w:rsidR="004C6717" w:rsidRPr="00366F2E">
        <w:rPr>
          <w:rFonts w:ascii="Times New Roman" w:hAnsi="Times New Roman"/>
          <w:b/>
          <w:sz w:val="24"/>
          <w:szCs w:val="24"/>
        </w:rPr>
        <w:t>n niteli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ğ</w:t>
      </w:r>
      <w:r w:rsidR="004C6717" w:rsidRPr="00366F2E">
        <w:rPr>
          <w:rFonts w:ascii="Times New Roman" w:hAnsi="Times New Roman"/>
          <w:b/>
          <w:sz w:val="24"/>
          <w:szCs w:val="24"/>
        </w:rPr>
        <w:t>i ve içeri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ğ</w:t>
      </w:r>
      <w:r w:rsidR="004C6717" w:rsidRPr="00366F2E">
        <w:rPr>
          <w:rFonts w:ascii="Times New Roman" w:hAnsi="Times New Roman"/>
          <w:b/>
          <w:sz w:val="24"/>
          <w:szCs w:val="24"/>
        </w:rPr>
        <w:t>i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HDPE 30 </w:t>
      </w:r>
      <w:proofErr w:type="spellStart"/>
      <w:r w:rsidRPr="00366F2E">
        <w:rPr>
          <w:rFonts w:ascii="Times New Roman" w:hAnsi="Times New Roman"/>
          <w:sz w:val="24"/>
          <w:szCs w:val="24"/>
        </w:rPr>
        <w:t>ml’lik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beyaz </w:t>
      </w:r>
      <w:proofErr w:type="spellStart"/>
      <w:r w:rsidRPr="00366F2E">
        <w:rPr>
          <w:rFonts w:ascii="Times New Roman" w:hAnsi="Times New Roman"/>
          <w:sz w:val="24"/>
          <w:szCs w:val="24"/>
        </w:rPr>
        <w:t>opak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şişe, </w:t>
      </w:r>
      <w:proofErr w:type="spellStart"/>
      <w:r w:rsidRPr="00366F2E">
        <w:rPr>
          <w:rFonts w:ascii="Times New Roman" w:hAnsi="Times New Roman"/>
          <w:sz w:val="24"/>
          <w:szCs w:val="24"/>
        </w:rPr>
        <w:t>polipropilen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kapak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66F2E">
        <w:rPr>
          <w:rFonts w:ascii="Times New Roman" w:hAnsi="Times New Roman"/>
          <w:spacing w:val="-2"/>
          <w:sz w:val="24"/>
          <w:szCs w:val="24"/>
        </w:rPr>
        <w:t xml:space="preserve">Her bir şişede </w:t>
      </w:r>
      <w:r w:rsidR="009C2E5D" w:rsidRPr="00366F2E">
        <w:rPr>
          <w:rFonts w:ascii="Times New Roman" w:hAnsi="Times New Roman"/>
          <w:spacing w:val="-2"/>
          <w:sz w:val="24"/>
          <w:szCs w:val="24"/>
        </w:rPr>
        <w:t>40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adet </w:t>
      </w:r>
      <w:proofErr w:type="spellStart"/>
      <w:r w:rsidRPr="00366F2E">
        <w:rPr>
          <w:rFonts w:ascii="Times New Roman" w:hAnsi="Times New Roman"/>
          <w:spacing w:val="-2"/>
          <w:sz w:val="24"/>
          <w:szCs w:val="24"/>
        </w:rPr>
        <w:t>Laroxyl</w:t>
      </w:r>
      <w:proofErr w:type="spellEnd"/>
      <w:r w:rsidRPr="00366F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C2E5D" w:rsidRPr="00366F2E">
        <w:rPr>
          <w:rFonts w:ascii="Times New Roman" w:hAnsi="Times New Roman"/>
          <w:spacing w:val="-2"/>
          <w:sz w:val="24"/>
          <w:szCs w:val="24"/>
        </w:rPr>
        <w:t>25</w:t>
      </w:r>
      <w:r w:rsidRPr="00366F2E">
        <w:rPr>
          <w:rFonts w:ascii="Times New Roman" w:hAnsi="Times New Roman"/>
          <w:spacing w:val="-2"/>
          <w:sz w:val="24"/>
          <w:szCs w:val="24"/>
        </w:rPr>
        <w:t xml:space="preserve"> mg draje bulunmaktadır. </w:t>
      </w:r>
    </w:p>
    <w:p w:rsidR="003D6FE0" w:rsidRPr="00366F2E" w:rsidRDefault="003D6F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C67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6.6. Beşeri t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>bbi üründen arta kalan maddelerin imhas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ı</w:t>
      </w:r>
      <w:r w:rsidRPr="00366F2E">
        <w:rPr>
          <w:rFonts w:ascii="Times New Roman" w:hAnsi="Times New Roman"/>
          <w:b/>
          <w:sz w:val="24"/>
          <w:szCs w:val="24"/>
        </w:rPr>
        <w:t xml:space="preserve"> ve di</w:t>
      </w:r>
      <w:r w:rsidR="005E40C5" w:rsidRPr="00366F2E">
        <w:rPr>
          <w:rFonts w:ascii="Times New Roman" w:hAnsi="Times New Roman" w:hint="eastAsia"/>
          <w:b/>
          <w:sz w:val="24"/>
          <w:szCs w:val="24"/>
        </w:rPr>
        <w:t>ğ</w:t>
      </w:r>
      <w:r w:rsidRPr="00366F2E">
        <w:rPr>
          <w:rFonts w:ascii="Times New Roman" w:hAnsi="Times New Roman"/>
          <w:b/>
          <w:sz w:val="24"/>
          <w:szCs w:val="24"/>
        </w:rPr>
        <w:t>er özel önlemler</w:t>
      </w:r>
    </w:p>
    <w:p w:rsidR="004C6717" w:rsidRPr="00366F2E" w:rsidRDefault="005E40C5" w:rsidP="007A16F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‘Tı</w:t>
      </w:r>
      <w:r w:rsidR="004C6717" w:rsidRPr="00366F2E">
        <w:rPr>
          <w:rFonts w:ascii="Times New Roman" w:hAnsi="Times New Roman"/>
          <w:sz w:val="24"/>
          <w:szCs w:val="24"/>
        </w:rPr>
        <w:t>bbi at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="004C6717" w:rsidRPr="00366F2E">
        <w:rPr>
          <w:rFonts w:ascii="Times New Roman" w:hAnsi="Times New Roman"/>
          <w:sz w:val="24"/>
          <w:szCs w:val="24"/>
        </w:rPr>
        <w:t>klar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="004C6717" w:rsidRPr="00366F2E">
        <w:rPr>
          <w:rFonts w:ascii="Times New Roman" w:hAnsi="Times New Roman"/>
          <w:sz w:val="24"/>
          <w:szCs w:val="24"/>
        </w:rPr>
        <w:t>n kontrolü yönetmeli</w:t>
      </w:r>
      <w:r w:rsidRPr="00366F2E">
        <w:rPr>
          <w:rFonts w:ascii="Times New Roman" w:hAnsi="Times New Roman" w:hint="eastAsia"/>
          <w:sz w:val="24"/>
          <w:szCs w:val="24"/>
        </w:rPr>
        <w:t>ğ</w:t>
      </w:r>
      <w:r w:rsidR="004C6717" w:rsidRPr="00366F2E">
        <w:rPr>
          <w:rFonts w:ascii="Times New Roman" w:hAnsi="Times New Roman"/>
          <w:sz w:val="24"/>
          <w:szCs w:val="24"/>
        </w:rPr>
        <w:t>i’ ve ‘Ambalaj ve Ambalaj</w:t>
      </w:r>
      <w:r w:rsidRPr="00366F2E">
        <w:rPr>
          <w:rFonts w:ascii="Times New Roman" w:hAnsi="Times New Roman"/>
          <w:sz w:val="24"/>
          <w:szCs w:val="24"/>
        </w:rPr>
        <w:t xml:space="preserve"> Atı</w:t>
      </w:r>
      <w:r w:rsidR="004C6717" w:rsidRPr="00366F2E">
        <w:rPr>
          <w:rFonts w:ascii="Times New Roman" w:hAnsi="Times New Roman"/>
          <w:sz w:val="24"/>
          <w:szCs w:val="24"/>
        </w:rPr>
        <w:t>klar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="004C6717" w:rsidRPr="00366F2E">
        <w:rPr>
          <w:rFonts w:ascii="Times New Roman" w:hAnsi="Times New Roman"/>
          <w:sz w:val="24"/>
          <w:szCs w:val="24"/>
        </w:rPr>
        <w:t>n</w:t>
      </w:r>
      <w:r w:rsidRPr="00366F2E">
        <w:rPr>
          <w:rFonts w:ascii="Times New Roman" w:hAnsi="Times New Roman" w:hint="eastAsia"/>
          <w:sz w:val="24"/>
          <w:szCs w:val="24"/>
        </w:rPr>
        <w:t>ı</w:t>
      </w:r>
      <w:r w:rsidR="004C6717" w:rsidRPr="00366F2E">
        <w:rPr>
          <w:rFonts w:ascii="Times New Roman" w:hAnsi="Times New Roman"/>
          <w:sz w:val="24"/>
          <w:szCs w:val="24"/>
        </w:rPr>
        <w:t>n Kontrolü yönetmelikleri’ ne uygun olarak imha edilmelidir.</w:t>
      </w:r>
    </w:p>
    <w:p w:rsidR="003D6FE0" w:rsidRPr="00366F2E" w:rsidRDefault="003D6FE0" w:rsidP="007A16F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7.</w:t>
      </w:r>
      <w:r w:rsidRPr="00366F2E">
        <w:rPr>
          <w:rFonts w:ascii="Times New Roman" w:hAnsi="Times New Roman"/>
          <w:b/>
          <w:sz w:val="24"/>
          <w:szCs w:val="24"/>
        </w:rPr>
        <w:tab/>
        <w:t>RUHSAT SAHİBİ</w:t>
      </w:r>
    </w:p>
    <w:p w:rsidR="00964C69" w:rsidRPr="00366F2E" w:rsidRDefault="001302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DEVA HOLDİNG A.Ş.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Halkalı Merkez </w:t>
      </w:r>
      <w:proofErr w:type="spellStart"/>
      <w:r w:rsidRPr="00366F2E">
        <w:rPr>
          <w:rFonts w:ascii="Times New Roman" w:hAnsi="Times New Roman"/>
          <w:sz w:val="24"/>
          <w:szCs w:val="24"/>
        </w:rPr>
        <w:t>Mah.Basın</w:t>
      </w:r>
      <w:proofErr w:type="spellEnd"/>
      <w:r w:rsidRPr="00366F2E">
        <w:rPr>
          <w:rFonts w:ascii="Times New Roman" w:hAnsi="Times New Roman"/>
          <w:sz w:val="24"/>
          <w:szCs w:val="24"/>
        </w:rPr>
        <w:t xml:space="preserve"> Ekspres Cad.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No: 1  34303  Küçükçekmece </w:t>
      </w:r>
      <w:r w:rsidR="00130255" w:rsidRPr="00366F2E">
        <w:rPr>
          <w:rFonts w:ascii="Times New Roman" w:hAnsi="Times New Roman"/>
          <w:sz w:val="24"/>
          <w:szCs w:val="24"/>
        </w:rPr>
        <w:t>/</w:t>
      </w:r>
      <w:r w:rsidRPr="00366F2E">
        <w:rPr>
          <w:rFonts w:ascii="Times New Roman" w:hAnsi="Times New Roman"/>
          <w:sz w:val="24"/>
          <w:szCs w:val="24"/>
        </w:rPr>
        <w:t xml:space="preserve"> </w:t>
      </w:r>
      <w:r w:rsidR="00130255" w:rsidRPr="00366F2E">
        <w:rPr>
          <w:rFonts w:ascii="Times New Roman" w:hAnsi="Times New Roman"/>
          <w:sz w:val="24"/>
          <w:szCs w:val="24"/>
        </w:rPr>
        <w:t>İSTANBUL</w:t>
      </w:r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 xml:space="preserve">Tel: 0 212 692 92 </w:t>
      </w:r>
      <w:proofErr w:type="spellStart"/>
      <w:r w:rsidRPr="00366F2E">
        <w:rPr>
          <w:rFonts w:ascii="Times New Roman" w:hAnsi="Times New Roman"/>
          <w:sz w:val="24"/>
          <w:szCs w:val="24"/>
        </w:rPr>
        <w:t>92</w:t>
      </w:r>
      <w:proofErr w:type="spellEnd"/>
    </w:p>
    <w:p w:rsidR="00964C69" w:rsidRPr="00366F2E" w:rsidRDefault="00485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F2E">
        <w:rPr>
          <w:rFonts w:ascii="Times New Roman" w:hAnsi="Times New Roman"/>
          <w:sz w:val="24"/>
          <w:szCs w:val="24"/>
        </w:rPr>
        <w:t>Fax</w:t>
      </w:r>
      <w:proofErr w:type="spellEnd"/>
      <w:r w:rsidRPr="00366F2E">
        <w:rPr>
          <w:rFonts w:ascii="Times New Roman" w:hAnsi="Times New Roman"/>
          <w:sz w:val="24"/>
          <w:szCs w:val="24"/>
        </w:rPr>
        <w:t>: 0 212 697 00 24</w:t>
      </w:r>
    </w:p>
    <w:p w:rsidR="00571591" w:rsidRPr="00366F2E" w:rsidRDefault="00571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8.</w:t>
      </w:r>
      <w:r w:rsidRPr="00366F2E">
        <w:rPr>
          <w:rFonts w:ascii="Times New Roman" w:hAnsi="Times New Roman"/>
          <w:b/>
          <w:sz w:val="24"/>
          <w:szCs w:val="24"/>
        </w:rPr>
        <w:tab/>
        <w:t>RUHSAT NUMARASI</w:t>
      </w:r>
    </w:p>
    <w:p w:rsidR="007E20D2" w:rsidRPr="00366F2E" w:rsidRDefault="007E20D2" w:rsidP="007E20D2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220/13</w:t>
      </w:r>
    </w:p>
    <w:p w:rsidR="00571591" w:rsidRPr="00366F2E" w:rsidRDefault="00571591" w:rsidP="007E20D2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9.</w:t>
      </w:r>
      <w:r w:rsidRPr="00366F2E">
        <w:rPr>
          <w:rFonts w:ascii="Times New Roman" w:hAnsi="Times New Roman"/>
          <w:b/>
          <w:sz w:val="24"/>
          <w:szCs w:val="24"/>
        </w:rPr>
        <w:tab/>
        <w:t>İLK RUHSAT TARİHİ/RUHSAT YENİLEME TARİHİ</w:t>
      </w:r>
    </w:p>
    <w:p w:rsidR="0048506B" w:rsidRPr="00366F2E" w:rsidRDefault="007E20D2" w:rsidP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30.07.2009</w:t>
      </w:r>
    </w:p>
    <w:p w:rsidR="00571591" w:rsidRPr="00366F2E" w:rsidRDefault="00571591" w:rsidP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4C69" w:rsidRPr="00366F2E" w:rsidRDefault="0048506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2E">
        <w:rPr>
          <w:rFonts w:ascii="Times New Roman" w:hAnsi="Times New Roman"/>
          <w:b/>
          <w:sz w:val="24"/>
          <w:szCs w:val="24"/>
        </w:rPr>
        <w:t>10.</w:t>
      </w:r>
      <w:r w:rsidRPr="00366F2E">
        <w:rPr>
          <w:rFonts w:ascii="Times New Roman" w:hAnsi="Times New Roman"/>
          <w:b/>
          <w:sz w:val="24"/>
          <w:szCs w:val="24"/>
        </w:rPr>
        <w:tab/>
        <w:t>KÜB’ÜN YENİLENME TARİHİ</w:t>
      </w:r>
    </w:p>
    <w:p w:rsidR="00366F2E" w:rsidRPr="00366F2E" w:rsidRDefault="00366F2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2E">
        <w:rPr>
          <w:rFonts w:ascii="Times New Roman" w:hAnsi="Times New Roman"/>
          <w:sz w:val="24"/>
          <w:szCs w:val="24"/>
        </w:rPr>
        <w:t>30.11.2012</w:t>
      </w:r>
    </w:p>
    <w:sectPr w:rsidR="00366F2E" w:rsidRPr="00366F2E" w:rsidSect="00125DE2">
      <w:footerReference w:type="default" r:id="rId9"/>
      <w:endnotePr>
        <w:numFmt w:val="decimal"/>
      </w:endnotePr>
      <w:pgSz w:w="11907" w:h="16840" w:code="9"/>
      <w:pgMar w:top="1701" w:right="1701" w:bottom="1418" w:left="1701" w:header="1701" w:footer="8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ED" w:rsidRDefault="00AC54ED">
      <w:pPr>
        <w:spacing w:line="20" w:lineRule="exact"/>
        <w:rPr>
          <w:sz w:val="24"/>
        </w:rPr>
      </w:pPr>
    </w:p>
  </w:endnote>
  <w:endnote w:type="continuationSeparator" w:id="0">
    <w:p w:rsidR="00AC54ED" w:rsidRDefault="00AC54ED">
      <w:r>
        <w:rPr>
          <w:sz w:val="24"/>
        </w:rPr>
        <w:t xml:space="preserve"> </w:t>
      </w:r>
    </w:p>
  </w:endnote>
  <w:endnote w:type="continuationNotice" w:id="1">
    <w:p w:rsidR="00AC54ED" w:rsidRDefault="00AC54ED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D7" w:rsidRDefault="00237E70">
    <w:pPr>
      <w:pStyle w:val="Altbilgi"/>
      <w:jc w:val="right"/>
    </w:pPr>
    <w:r>
      <w:fldChar w:fldCharType="begin"/>
    </w:r>
    <w:r w:rsidR="000562D7">
      <w:instrText xml:space="preserve"> PAGE   \* MERGEFORMAT </w:instrText>
    </w:r>
    <w:r>
      <w:fldChar w:fldCharType="separate"/>
    </w:r>
    <w:r w:rsidR="00366F2E">
      <w:rPr>
        <w:noProof/>
      </w:rPr>
      <w:t>15</w:t>
    </w:r>
    <w:r>
      <w:fldChar w:fldCharType="end"/>
    </w:r>
  </w:p>
  <w:p w:rsidR="000562D7" w:rsidRDefault="000562D7" w:rsidP="004C6717">
    <w:pPr>
      <w:pStyle w:val="Altbilgi"/>
      <w:ind w:right="360"/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ED" w:rsidRDefault="00AC54ED">
      <w:r>
        <w:rPr>
          <w:sz w:val="24"/>
        </w:rPr>
        <w:separator/>
      </w:r>
    </w:p>
  </w:footnote>
  <w:footnote w:type="continuationSeparator" w:id="0">
    <w:p w:rsidR="00AC54ED" w:rsidRDefault="00AC5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149"/>
    <w:multiLevelType w:val="hybridMultilevel"/>
    <w:tmpl w:val="E52A1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EE0"/>
    <w:multiLevelType w:val="multilevel"/>
    <w:tmpl w:val="6660CD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4F709A"/>
    <w:multiLevelType w:val="multilevel"/>
    <w:tmpl w:val="13445A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EA3680"/>
    <w:multiLevelType w:val="hybridMultilevel"/>
    <w:tmpl w:val="42FAE30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A75CD"/>
    <w:multiLevelType w:val="hybridMultilevel"/>
    <w:tmpl w:val="3280B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B0CC6"/>
    <w:multiLevelType w:val="hybridMultilevel"/>
    <w:tmpl w:val="8BCEF714"/>
    <w:lvl w:ilvl="0" w:tplc="3F5E8B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7C4CEC0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D57EEE"/>
    <w:multiLevelType w:val="singleLevel"/>
    <w:tmpl w:val="916EA8C4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7">
    <w:nsid w:val="43C634FD"/>
    <w:multiLevelType w:val="hybridMultilevel"/>
    <w:tmpl w:val="1B084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94CB4"/>
    <w:multiLevelType w:val="multilevel"/>
    <w:tmpl w:val="BB7C0F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410F23"/>
    <w:multiLevelType w:val="multilevel"/>
    <w:tmpl w:val="A404C60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9FC57B1"/>
    <w:multiLevelType w:val="singleLevel"/>
    <w:tmpl w:val="55E6D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1A68A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>
    <w:nsid w:val="68D21202"/>
    <w:multiLevelType w:val="multilevel"/>
    <w:tmpl w:val="004A895A"/>
    <w:lvl w:ilvl="0">
      <w:start w:val="1"/>
      <w:numFmt w:val="decimal"/>
      <w:lvlText w:val="%1.0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</w:rPr>
    </w:lvl>
  </w:abstractNum>
  <w:abstractNum w:abstractNumId="13">
    <w:nsid w:val="6BF31242"/>
    <w:multiLevelType w:val="hybridMultilevel"/>
    <w:tmpl w:val="449ECE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306F3"/>
    <w:multiLevelType w:val="multilevel"/>
    <w:tmpl w:val="B06EF5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884E9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75BF7797"/>
    <w:multiLevelType w:val="multilevel"/>
    <w:tmpl w:val="712E52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6417FCD"/>
    <w:multiLevelType w:val="hybridMultilevel"/>
    <w:tmpl w:val="44B2F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7D"/>
    <w:rsid w:val="000562D7"/>
    <w:rsid w:val="000701FC"/>
    <w:rsid w:val="000959D1"/>
    <w:rsid w:val="000A4A83"/>
    <w:rsid w:val="000C424C"/>
    <w:rsid w:val="000F4048"/>
    <w:rsid w:val="000F661A"/>
    <w:rsid w:val="0010549D"/>
    <w:rsid w:val="0011321E"/>
    <w:rsid w:val="00125DE2"/>
    <w:rsid w:val="00130255"/>
    <w:rsid w:val="00135254"/>
    <w:rsid w:val="0015150B"/>
    <w:rsid w:val="00186307"/>
    <w:rsid w:val="001A0DF4"/>
    <w:rsid w:val="001A322A"/>
    <w:rsid w:val="001C623D"/>
    <w:rsid w:val="001C64B3"/>
    <w:rsid w:val="001F2D09"/>
    <w:rsid w:val="00202559"/>
    <w:rsid w:val="002126A9"/>
    <w:rsid w:val="00213216"/>
    <w:rsid w:val="00237E70"/>
    <w:rsid w:val="00246A7B"/>
    <w:rsid w:val="002522EF"/>
    <w:rsid w:val="00255EB3"/>
    <w:rsid w:val="002643FA"/>
    <w:rsid w:val="0027502E"/>
    <w:rsid w:val="00277426"/>
    <w:rsid w:val="00290134"/>
    <w:rsid w:val="002911D1"/>
    <w:rsid w:val="00291429"/>
    <w:rsid w:val="002A7B01"/>
    <w:rsid w:val="002E4475"/>
    <w:rsid w:val="002E53FB"/>
    <w:rsid w:val="0033642A"/>
    <w:rsid w:val="00355DBB"/>
    <w:rsid w:val="00366F2E"/>
    <w:rsid w:val="00387EFC"/>
    <w:rsid w:val="003A166F"/>
    <w:rsid w:val="003D6FE0"/>
    <w:rsid w:val="003F6033"/>
    <w:rsid w:val="00403706"/>
    <w:rsid w:val="00454755"/>
    <w:rsid w:val="00460773"/>
    <w:rsid w:val="00485054"/>
    <w:rsid w:val="0048506B"/>
    <w:rsid w:val="004951FD"/>
    <w:rsid w:val="004A0111"/>
    <w:rsid w:val="004A04E6"/>
    <w:rsid w:val="004B3A5C"/>
    <w:rsid w:val="004C1320"/>
    <w:rsid w:val="004C53E3"/>
    <w:rsid w:val="004C6717"/>
    <w:rsid w:val="004F16D6"/>
    <w:rsid w:val="00501BC5"/>
    <w:rsid w:val="005200E6"/>
    <w:rsid w:val="00555894"/>
    <w:rsid w:val="00571591"/>
    <w:rsid w:val="00572118"/>
    <w:rsid w:val="00575664"/>
    <w:rsid w:val="005B3E7B"/>
    <w:rsid w:val="005C3478"/>
    <w:rsid w:val="005D1B61"/>
    <w:rsid w:val="005E0414"/>
    <w:rsid w:val="005E2537"/>
    <w:rsid w:val="005E40C5"/>
    <w:rsid w:val="005E7964"/>
    <w:rsid w:val="00601811"/>
    <w:rsid w:val="006122AA"/>
    <w:rsid w:val="00631661"/>
    <w:rsid w:val="006330AC"/>
    <w:rsid w:val="00661365"/>
    <w:rsid w:val="00671415"/>
    <w:rsid w:val="006D439F"/>
    <w:rsid w:val="006F635B"/>
    <w:rsid w:val="00711A8A"/>
    <w:rsid w:val="007357B9"/>
    <w:rsid w:val="00743AB1"/>
    <w:rsid w:val="00753599"/>
    <w:rsid w:val="0075736A"/>
    <w:rsid w:val="00766BB4"/>
    <w:rsid w:val="00780E7D"/>
    <w:rsid w:val="007932E2"/>
    <w:rsid w:val="007947E5"/>
    <w:rsid w:val="007A16F6"/>
    <w:rsid w:val="007B11B0"/>
    <w:rsid w:val="007D00FA"/>
    <w:rsid w:val="007E20D2"/>
    <w:rsid w:val="007F1F5E"/>
    <w:rsid w:val="008122A9"/>
    <w:rsid w:val="008171AF"/>
    <w:rsid w:val="00842728"/>
    <w:rsid w:val="00854616"/>
    <w:rsid w:val="008D317B"/>
    <w:rsid w:val="008E53CA"/>
    <w:rsid w:val="00914A18"/>
    <w:rsid w:val="009238DC"/>
    <w:rsid w:val="00933494"/>
    <w:rsid w:val="0094509C"/>
    <w:rsid w:val="00964C69"/>
    <w:rsid w:val="009764A1"/>
    <w:rsid w:val="00980441"/>
    <w:rsid w:val="009838BA"/>
    <w:rsid w:val="009856ED"/>
    <w:rsid w:val="009940E4"/>
    <w:rsid w:val="009B1E83"/>
    <w:rsid w:val="009B3A92"/>
    <w:rsid w:val="009C172A"/>
    <w:rsid w:val="009C20E9"/>
    <w:rsid w:val="009C2E5D"/>
    <w:rsid w:val="009C5FC2"/>
    <w:rsid w:val="009C70EE"/>
    <w:rsid w:val="009F208F"/>
    <w:rsid w:val="00A078CB"/>
    <w:rsid w:val="00A07AF9"/>
    <w:rsid w:val="00A13F46"/>
    <w:rsid w:val="00A36A09"/>
    <w:rsid w:val="00A87AED"/>
    <w:rsid w:val="00A921C4"/>
    <w:rsid w:val="00A94509"/>
    <w:rsid w:val="00AC54ED"/>
    <w:rsid w:val="00AD7D0F"/>
    <w:rsid w:val="00AF0E41"/>
    <w:rsid w:val="00B226AB"/>
    <w:rsid w:val="00B333AD"/>
    <w:rsid w:val="00B44E7C"/>
    <w:rsid w:val="00B5004C"/>
    <w:rsid w:val="00B75E52"/>
    <w:rsid w:val="00B86441"/>
    <w:rsid w:val="00BB5976"/>
    <w:rsid w:val="00BC04B6"/>
    <w:rsid w:val="00BC1346"/>
    <w:rsid w:val="00BE43EB"/>
    <w:rsid w:val="00BF3169"/>
    <w:rsid w:val="00BF736E"/>
    <w:rsid w:val="00C10B23"/>
    <w:rsid w:val="00C53266"/>
    <w:rsid w:val="00C64C6B"/>
    <w:rsid w:val="00C70CAA"/>
    <w:rsid w:val="00C86E6E"/>
    <w:rsid w:val="00C96337"/>
    <w:rsid w:val="00CB3E2B"/>
    <w:rsid w:val="00CD0C03"/>
    <w:rsid w:val="00D07619"/>
    <w:rsid w:val="00D43D95"/>
    <w:rsid w:val="00D71469"/>
    <w:rsid w:val="00D71FD9"/>
    <w:rsid w:val="00DB7F62"/>
    <w:rsid w:val="00E32006"/>
    <w:rsid w:val="00E340F7"/>
    <w:rsid w:val="00E41E8F"/>
    <w:rsid w:val="00E93EAD"/>
    <w:rsid w:val="00EA079D"/>
    <w:rsid w:val="00EC6D24"/>
    <w:rsid w:val="00EE165E"/>
    <w:rsid w:val="00EE51D9"/>
    <w:rsid w:val="00EF0384"/>
    <w:rsid w:val="00EF27A3"/>
    <w:rsid w:val="00EF4F50"/>
    <w:rsid w:val="00F106CE"/>
    <w:rsid w:val="00F338F0"/>
    <w:rsid w:val="00F6358E"/>
    <w:rsid w:val="00F76914"/>
    <w:rsid w:val="00F83511"/>
    <w:rsid w:val="00F8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0C5"/>
    <w:rPr>
      <w:rFonts w:ascii="Swiss" w:hAnsi="Swiss"/>
      <w:lang w:eastAsia="ja-JP"/>
    </w:rPr>
  </w:style>
  <w:style w:type="paragraph" w:styleId="Balk1">
    <w:name w:val="heading 1"/>
    <w:basedOn w:val="Normal"/>
    <w:next w:val="Normal"/>
    <w:qFormat/>
    <w:rsid w:val="005E40C5"/>
    <w:pPr>
      <w:keepNext/>
      <w:tabs>
        <w:tab w:val="left" w:pos="-1180"/>
        <w:tab w:val="left" w:pos="-460"/>
        <w:tab w:val="left" w:pos="260"/>
        <w:tab w:val="left" w:pos="692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  <w:tab w:val="left" w:pos="9620"/>
        <w:tab w:val="left" w:pos="10340"/>
        <w:tab w:val="left" w:pos="11060"/>
        <w:tab w:val="left" w:pos="11780"/>
        <w:tab w:val="left" w:pos="12500"/>
        <w:tab w:val="left" w:pos="13220"/>
        <w:tab w:val="left" w:pos="13940"/>
        <w:tab w:val="left" w:pos="14660"/>
        <w:tab w:val="left" w:pos="15380"/>
        <w:tab w:val="left" w:pos="16100"/>
        <w:tab w:val="left" w:pos="16820"/>
        <w:tab w:val="left" w:pos="17540"/>
        <w:tab w:val="left" w:pos="18260"/>
        <w:tab w:val="left" w:pos="18980"/>
      </w:tabs>
      <w:suppressAutoHyphens/>
      <w:jc w:val="both"/>
      <w:outlineLvl w:val="0"/>
    </w:pPr>
    <w:rPr>
      <w:rFonts w:ascii="Arial (WT)" w:hAnsi="Arial (WT)"/>
      <w:spacing w:val="-2"/>
      <w:sz w:val="24"/>
    </w:rPr>
  </w:style>
  <w:style w:type="paragraph" w:styleId="Balk2">
    <w:name w:val="heading 2"/>
    <w:basedOn w:val="Normal"/>
    <w:next w:val="Normal"/>
    <w:qFormat/>
    <w:rsid w:val="005E40C5"/>
    <w:pPr>
      <w:keepNext/>
      <w:tabs>
        <w:tab w:val="left" w:pos="-1180"/>
        <w:tab w:val="left" w:pos="-460"/>
        <w:tab w:val="left" w:pos="260"/>
        <w:tab w:val="left" w:pos="692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  <w:tab w:val="left" w:pos="9620"/>
        <w:tab w:val="left" w:pos="10340"/>
        <w:tab w:val="left" w:pos="11060"/>
        <w:tab w:val="left" w:pos="11780"/>
        <w:tab w:val="left" w:pos="12500"/>
        <w:tab w:val="left" w:pos="13220"/>
        <w:tab w:val="left" w:pos="13940"/>
        <w:tab w:val="left" w:pos="14660"/>
        <w:tab w:val="left" w:pos="15380"/>
        <w:tab w:val="left" w:pos="16100"/>
        <w:tab w:val="left" w:pos="16820"/>
        <w:tab w:val="left" w:pos="17540"/>
        <w:tab w:val="left" w:pos="18260"/>
        <w:tab w:val="left" w:pos="18980"/>
      </w:tabs>
      <w:suppressAutoHyphens/>
      <w:jc w:val="both"/>
      <w:outlineLvl w:val="1"/>
    </w:pPr>
    <w:rPr>
      <w:rFonts w:ascii="Arial (WT)" w:hAnsi="Arial (WT)"/>
      <w:spacing w:val="-2"/>
      <w:sz w:val="22"/>
      <w:u w:val="single"/>
    </w:rPr>
  </w:style>
  <w:style w:type="paragraph" w:styleId="Balk3">
    <w:name w:val="heading 3"/>
    <w:basedOn w:val="Normal"/>
    <w:next w:val="Normal"/>
    <w:qFormat/>
    <w:rsid w:val="005E40C5"/>
    <w:pPr>
      <w:keepNext/>
      <w:tabs>
        <w:tab w:val="left" w:pos="-1180"/>
        <w:tab w:val="left" w:pos="-460"/>
        <w:tab w:val="left" w:pos="260"/>
        <w:tab w:val="left" w:pos="692"/>
        <w:tab w:val="left" w:pos="980"/>
        <w:tab w:val="left" w:pos="1412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  <w:tab w:val="left" w:pos="9620"/>
        <w:tab w:val="left" w:pos="10340"/>
        <w:tab w:val="left" w:pos="11060"/>
        <w:tab w:val="left" w:pos="11780"/>
        <w:tab w:val="left" w:pos="12500"/>
        <w:tab w:val="left" w:pos="13220"/>
        <w:tab w:val="left" w:pos="13940"/>
        <w:tab w:val="left" w:pos="14660"/>
        <w:tab w:val="left" w:pos="15380"/>
        <w:tab w:val="left" w:pos="16100"/>
        <w:tab w:val="left" w:pos="16820"/>
        <w:tab w:val="left" w:pos="17540"/>
        <w:tab w:val="left" w:pos="18260"/>
        <w:tab w:val="left" w:pos="18980"/>
      </w:tabs>
      <w:suppressAutoHyphens/>
      <w:ind w:left="284" w:hanging="284"/>
      <w:jc w:val="both"/>
      <w:outlineLvl w:val="2"/>
    </w:pPr>
    <w:rPr>
      <w:rFonts w:ascii="Arial (WT)" w:hAnsi="Arial (WT)"/>
      <w:spacing w:val="-2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sid w:val="005E40C5"/>
    <w:rPr>
      <w:sz w:val="24"/>
    </w:rPr>
  </w:style>
  <w:style w:type="character" w:styleId="SonnotBavurusu">
    <w:name w:val="endnote reference"/>
    <w:basedOn w:val="VarsaylanParagrafYazTipi"/>
    <w:semiHidden/>
    <w:rsid w:val="005E40C5"/>
    <w:rPr>
      <w:vertAlign w:val="superscript"/>
    </w:rPr>
  </w:style>
  <w:style w:type="paragraph" w:styleId="DipnotMetni">
    <w:name w:val="footnote text"/>
    <w:basedOn w:val="Normal"/>
    <w:semiHidden/>
    <w:rsid w:val="005E40C5"/>
    <w:rPr>
      <w:sz w:val="24"/>
    </w:rPr>
  </w:style>
  <w:style w:type="character" w:styleId="DipnotBavurusu">
    <w:name w:val="footnote reference"/>
    <w:basedOn w:val="VarsaylanParagrafYazTipi"/>
    <w:semiHidden/>
    <w:rsid w:val="005E40C5"/>
    <w:rPr>
      <w:vertAlign w:val="superscript"/>
    </w:rPr>
  </w:style>
  <w:style w:type="paragraph" w:styleId="T1">
    <w:name w:val="toc 1"/>
    <w:basedOn w:val="Normal"/>
    <w:next w:val="Normal"/>
    <w:semiHidden/>
    <w:rsid w:val="005E40C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2">
    <w:name w:val="toc 2"/>
    <w:basedOn w:val="Normal"/>
    <w:next w:val="Normal"/>
    <w:semiHidden/>
    <w:rsid w:val="005E40C5"/>
    <w:pPr>
      <w:tabs>
        <w:tab w:val="right" w:leader="dot" w:pos="9360"/>
      </w:tabs>
      <w:suppressAutoHyphens/>
      <w:ind w:left="1440" w:right="720" w:hanging="720"/>
    </w:pPr>
  </w:style>
  <w:style w:type="paragraph" w:styleId="T3">
    <w:name w:val="toc 3"/>
    <w:basedOn w:val="Normal"/>
    <w:next w:val="Normal"/>
    <w:semiHidden/>
    <w:rsid w:val="005E40C5"/>
    <w:pPr>
      <w:tabs>
        <w:tab w:val="right" w:leader="dot" w:pos="9360"/>
      </w:tabs>
      <w:suppressAutoHyphens/>
      <w:ind w:left="2160" w:right="720" w:hanging="720"/>
    </w:pPr>
  </w:style>
  <w:style w:type="paragraph" w:styleId="T4">
    <w:name w:val="toc 4"/>
    <w:basedOn w:val="Normal"/>
    <w:next w:val="Normal"/>
    <w:semiHidden/>
    <w:rsid w:val="005E40C5"/>
    <w:pPr>
      <w:tabs>
        <w:tab w:val="right" w:leader="dot" w:pos="9360"/>
      </w:tabs>
      <w:suppressAutoHyphens/>
      <w:ind w:left="2880" w:right="720" w:hanging="720"/>
    </w:pPr>
  </w:style>
  <w:style w:type="paragraph" w:styleId="T5">
    <w:name w:val="toc 5"/>
    <w:basedOn w:val="Normal"/>
    <w:next w:val="Normal"/>
    <w:semiHidden/>
    <w:rsid w:val="005E40C5"/>
    <w:pPr>
      <w:tabs>
        <w:tab w:val="right" w:leader="dot" w:pos="9360"/>
      </w:tabs>
      <w:suppressAutoHyphens/>
      <w:ind w:left="3600" w:right="720" w:hanging="720"/>
    </w:pPr>
  </w:style>
  <w:style w:type="paragraph" w:styleId="T6">
    <w:name w:val="toc 6"/>
    <w:basedOn w:val="Normal"/>
    <w:next w:val="Normal"/>
    <w:semiHidden/>
    <w:rsid w:val="005E40C5"/>
    <w:pPr>
      <w:tabs>
        <w:tab w:val="right" w:pos="9360"/>
      </w:tabs>
      <w:suppressAutoHyphens/>
      <w:ind w:left="720" w:hanging="720"/>
    </w:pPr>
  </w:style>
  <w:style w:type="paragraph" w:styleId="T7">
    <w:name w:val="toc 7"/>
    <w:basedOn w:val="Normal"/>
    <w:next w:val="Normal"/>
    <w:semiHidden/>
    <w:rsid w:val="005E40C5"/>
    <w:pPr>
      <w:suppressAutoHyphens/>
      <w:ind w:left="720" w:hanging="720"/>
    </w:pPr>
  </w:style>
  <w:style w:type="paragraph" w:styleId="T8">
    <w:name w:val="toc 8"/>
    <w:basedOn w:val="Normal"/>
    <w:next w:val="Normal"/>
    <w:semiHidden/>
    <w:rsid w:val="005E40C5"/>
    <w:pPr>
      <w:tabs>
        <w:tab w:val="right" w:pos="9360"/>
      </w:tabs>
      <w:suppressAutoHyphens/>
      <w:ind w:left="720" w:hanging="720"/>
    </w:pPr>
  </w:style>
  <w:style w:type="paragraph" w:styleId="T9">
    <w:name w:val="toc 9"/>
    <w:basedOn w:val="Normal"/>
    <w:next w:val="Normal"/>
    <w:semiHidden/>
    <w:rsid w:val="005E40C5"/>
    <w:pPr>
      <w:tabs>
        <w:tab w:val="right" w:leader="dot" w:pos="9360"/>
      </w:tabs>
      <w:suppressAutoHyphens/>
      <w:ind w:left="720" w:hanging="720"/>
    </w:pPr>
  </w:style>
  <w:style w:type="paragraph" w:styleId="Dizin1">
    <w:name w:val="index 1"/>
    <w:basedOn w:val="Normal"/>
    <w:next w:val="Normal"/>
    <w:semiHidden/>
    <w:rsid w:val="005E40C5"/>
    <w:pPr>
      <w:tabs>
        <w:tab w:val="right" w:leader="dot" w:pos="9360"/>
      </w:tabs>
      <w:suppressAutoHyphens/>
      <w:ind w:left="1440" w:right="720" w:hanging="1440"/>
    </w:pPr>
  </w:style>
  <w:style w:type="paragraph" w:styleId="Dizin2">
    <w:name w:val="index 2"/>
    <w:basedOn w:val="Normal"/>
    <w:next w:val="Normal"/>
    <w:semiHidden/>
    <w:rsid w:val="005E40C5"/>
    <w:pPr>
      <w:tabs>
        <w:tab w:val="right" w:leader="dot" w:pos="9360"/>
      </w:tabs>
      <w:suppressAutoHyphens/>
      <w:ind w:left="1440" w:right="720" w:hanging="720"/>
    </w:pPr>
  </w:style>
  <w:style w:type="paragraph" w:styleId="KaynakaBal">
    <w:name w:val="toa heading"/>
    <w:basedOn w:val="Normal"/>
    <w:next w:val="Normal"/>
    <w:semiHidden/>
    <w:rsid w:val="005E40C5"/>
    <w:pPr>
      <w:tabs>
        <w:tab w:val="right" w:pos="9360"/>
      </w:tabs>
      <w:suppressAutoHyphens/>
    </w:pPr>
  </w:style>
  <w:style w:type="paragraph" w:styleId="ResimYazs">
    <w:name w:val="caption"/>
    <w:basedOn w:val="Normal"/>
    <w:next w:val="Normal"/>
    <w:qFormat/>
    <w:rsid w:val="005E40C5"/>
    <w:rPr>
      <w:sz w:val="24"/>
    </w:rPr>
  </w:style>
  <w:style w:type="character" w:customStyle="1" w:styleId="EquationCaption">
    <w:name w:val="_Equation Caption"/>
    <w:rsid w:val="005E40C5"/>
  </w:style>
  <w:style w:type="paragraph" w:styleId="stbilgi">
    <w:name w:val="header"/>
    <w:basedOn w:val="Normal"/>
    <w:link w:val="stbilgiChar"/>
    <w:uiPriority w:val="99"/>
    <w:rsid w:val="005E40C5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5E40C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5E40C5"/>
  </w:style>
  <w:style w:type="paragraph" w:styleId="GvdeMetni">
    <w:name w:val="Body Text"/>
    <w:basedOn w:val="Normal"/>
    <w:rsid w:val="005E40C5"/>
    <w:pPr>
      <w:suppressAutoHyphens/>
      <w:jc w:val="both"/>
    </w:pPr>
    <w:rPr>
      <w:rFonts w:ascii="Arial (WT)" w:hAnsi="Arial (WT)"/>
      <w:spacing w:val="-2"/>
      <w:sz w:val="24"/>
    </w:rPr>
  </w:style>
  <w:style w:type="paragraph" w:styleId="GvdeMetni3">
    <w:name w:val="Body Text 3"/>
    <w:basedOn w:val="Normal"/>
    <w:rsid w:val="005E40C5"/>
    <w:pPr>
      <w:shd w:val="clear" w:color="auto" w:fill="FFFFFF"/>
      <w:spacing w:line="242" w:lineRule="exact"/>
      <w:ind w:right="2"/>
      <w:jc w:val="both"/>
    </w:pPr>
    <w:rPr>
      <w:rFonts w:ascii="Arial" w:hAnsi="Arial"/>
      <w:w w:val="105"/>
    </w:rPr>
  </w:style>
  <w:style w:type="paragraph" w:styleId="GvdeMetniGirintisi">
    <w:name w:val="Body Text Indent"/>
    <w:basedOn w:val="Normal"/>
    <w:rsid w:val="005E40C5"/>
    <w:pPr>
      <w:tabs>
        <w:tab w:val="left" w:pos="-1180"/>
        <w:tab w:val="left" w:pos="-460"/>
        <w:tab w:val="left" w:pos="260"/>
        <w:tab w:val="left" w:pos="692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  <w:tab w:val="left" w:pos="9620"/>
        <w:tab w:val="left" w:pos="10340"/>
        <w:tab w:val="left" w:pos="11060"/>
        <w:tab w:val="left" w:pos="11780"/>
        <w:tab w:val="left" w:pos="12500"/>
        <w:tab w:val="left" w:pos="13220"/>
        <w:tab w:val="left" w:pos="13940"/>
        <w:tab w:val="left" w:pos="14660"/>
        <w:tab w:val="left" w:pos="15380"/>
        <w:tab w:val="left" w:pos="16100"/>
        <w:tab w:val="left" w:pos="16820"/>
        <w:tab w:val="left" w:pos="17540"/>
        <w:tab w:val="left" w:pos="18260"/>
        <w:tab w:val="left" w:pos="18980"/>
      </w:tabs>
      <w:suppressAutoHyphens/>
      <w:ind w:left="240"/>
      <w:jc w:val="both"/>
    </w:pPr>
    <w:rPr>
      <w:rFonts w:ascii="Arial (WT)" w:hAnsi="Arial (WT)"/>
      <w:spacing w:val="-2"/>
      <w:sz w:val="24"/>
    </w:rPr>
  </w:style>
  <w:style w:type="paragraph" w:styleId="GvdeMetni2">
    <w:name w:val="Body Text 2"/>
    <w:basedOn w:val="Normal"/>
    <w:rsid w:val="005E40C5"/>
    <w:pPr>
      <w:tabs>
        <w:tab w:val="left" w:pos="-1180"/>
        <w:tab w:val="left" w:pos="-460"/>
        <w:tab w:val="left" w:pos="260"/>
        <w:tab w:val="left" w:pos="692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  <w:tab w:val="left" w:pos="9620"/>
        <w:tab w:val="left" w:pos="10340"/>
        <w:tab w:val="left" w:pos="11060"/>
        <w:tab w:val="left" w:pos="11780"/>
        <w:tab w:val="left" w:pos="12500"/>
        <w:tab w:val="left" w:pos="13220"/>
        <w:tab w:val="left" w:pos="13940"/>
        <w:tab w:val="left" w:pos="14660"/>
        <w:tab w:val="left" w:pos="15380"/>
        <w:tab w:val="left" w:pos="16100"/>
        <w:tab w:val="left" w:pos="16820"/>
        <w:tab w:val="left" w:pos="17540"/>
        <w:tab w:val="left" w:pos="18260"/>
        <w:tab w:val="left" w:pos="18980"/>
      </w:tabs>
      <w:suppressAutoHyphens/>
      <w:jc w:val="both"/>
    </w:pPr>
    <w:rPr>
      <w:rFonts w:ascii="Arial (WT)" w:hAnsi="Arial (WT)"/>
      <w:spacing w:val="-2"/>
      <w:sz w:val="24"/>
      <w:u w:val="single"/>
    </w:rPr>
  </w:style>
  <w:style w:type="paragraph" w:styleId="BalonMetni">
    <w:name w:val="Balloon Text"/>
    <w:basedOn w:val="Normal"/>
    <w:link w:val="BalonMetniChar"/>
    <w:rsid w:val="00F835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83511"/>
    <w:rPr>
      <w:rFonts w:ascii="Tahoma" w:hAnsi="Tahoma" w:cs="Tahoma"/>
      <w:sz w:val="16"/>
      <w:szCs w:val="16"/>
      <w:lang w:eastAsia="ja-JP"/>
    </w:rPr>
  </w:style>
  <w:style w:type="character" w:customStyle="1" w:styleId="stbilgiChar">
    <w:name w:val="Üstbilgi Char"/>
    <w:basedOn w:val="VarsaylanParagrafYazTipi"/>
    <w:link w:val="stbilgi"/>
    <w:uiPriority w:val="99"/>
    <w:rsid w:val="00460773"/>
    <w:rPr>
      <w:rFonts w:ascii="Swiss" w:hAnsi="Swiss"/>
      <w:lang w:eastAsia="ja-JP"/>
    </w:rPr>
  </w:style>
  <w:style w:type="character" w:customStyle="1" w:styleId="AltbilgiChar">
    <w:name w:val="Altbilgi Char"/>
    <w:basedOn w:val="VarsaylanParagrafYazTipi"/>
    <w:link w:val="Altbilgi"/>
    <w:uiPriority w:val="99"/>
    <w:rsid w:val="00460773"/>
    <w:rPr>
      <w:rFonts w:ascii="Swiss" w:hAnsi="Swiss"/>
      <w:lang w:eastAsia="ja-JP"/>
    </w:rPr>
  </w:style>
  <w:style w:type="paragraph" w:styleId="NormalWeb">
    <w:name w:val="Normal (Web)"/>
    <w:basedOn w:val="Normal"/>
    <w:uiPriority w:val="99"/>
    <w:unhideWhenUsed/>
    <w:rsid w:val="003D6FE0"/>
    <w:pPr>
      <w:spacing w:before="100" w:beforeAutospacing="1" w:after="75"/>
    </w:pPr>
    <w:rPr>
      <w:rFonts w:ascii="Times New Roman" w:hAnsi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rsid w:val="00130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c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1ED1-E6F0-47AA-B972-2E40AAAF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4041</Words>
  <Characters>23035</Characters>
  <Application>Microsoft Office Word</Application>
  <DocSecurity>0</DocSecurity>
  <Lines>191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Minoset Roche şurup</vt:lpstr>
      <vt:lpstr>Minoset Roche şurup</vt:lpstr>
    </vt:vector>
  </TitlesOfParts>
  <Company>F. Hoffmann-La Roche AG</Company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Minoset Roche şurup</dc:title>
  <dc:subject/>
  <dc:creator>Levent BAL</dc:creator>
  <cp:keywords/>
  <dc:description/>
  <cp:lastModifiedBy>omumcuoglu</cp:lastModifiedBy>
  <cp:revision>7</cp:revision>
  <cp:lastPrinted>2011-11-30T07:26:00Z</cp:lastPrinted>
  <dcterms:created xsi:type="dcterms:W3CDTF">2011-11-30T08:11:00Z</dcterms:created>
  <dcterms:modified xsi:type="dcterms:W3CDTF">2014-09-01T08:12:00Z</dcterms:modified>
</cp:coreProperties>
</file>