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Default="00C93104" w:rsidP="005D4C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Default="00C93104" w:rsidP="005D4C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Default="00C93104" w:rsidP="005D4C9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ED46E6" w:rsidRPr="00ED46E6" w:rsidRDefault="00ED46E6" w:rsidP="00ED46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RAMİPEX </w:t>
      </w:r>
      <w:proofErr w:type="gramStart"/>
      <w:r w:rsidR="00FA55F9">
        <w:rPr>
          <w:rFonts w:ascii="Times New Roman" w:eastAsia="Calibri" w:hAnsi="Times New Roman" w:cs="Times New Roman"/>
          <w:sz w:val="24"/>
          <w:szCs w:val="24"/>
        </w:rPr>
        <w:t>1.0</w:t>
      </w:r>
      <w:proofErr w:type="gram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mg tablet</w:t>
      </w:r>
    </w:p>
    <w:p w:rsidR="00BE6FEB" w:rsidRPr="00BE6FEB" w:rsidRDefault="00BE6FEB" w:rsidP="005D4C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1E5973" w:rsidRDefault="00C93104" w:rsidP="005D4C9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973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4A3A59" w:rsidRPr="004A3A59" w:rsidRDefault="004A3A59" w:rsidP="004A3A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Etkin madde: </w:t>
      </w:r>
    </w:p>
    <w:p w:rsidR="00ED46E6" w:rsidRDefault="00ED46E6" w:rsidP="000B2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Her bir tablet, </w:t>
      </w:r>
      <w:proofErr w:type="gramStart"/>
      <w:r w:rsidRPr="00ED46E6">
        <w:rPr>
          <w:rFonts w:ascii="Times New Roman" w:eastAsia="Calibri" w:hAnsi="Times New Roman" w:cs="Times New Roman"/>
          <w:sz w:val="24"/>
          <w:szCs w:val="24"/>
        </w:rPr>
        <w:t>0.</w:t>
      </w:r>
      <w:r w:rsidR="00FA55F9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mg </w:t>
      </w:r>
      <w:proofErr w:type="spellStart"/>
      <w:r w:rsidRPr="00ED46E6">
        <w:rPr>
          <w:rFonts w:ascii="Times New Roman" w:eastAsia="Calibri" w:hAnsi="Times New Roman" w:cs="Times New Roman"/>
          <w:sz w:val="24"/>
          <w:szCs w:val="24"/>
        </w:rPr>
        <w:t>pramipeksole</w:t>
      </w:r>
      <w:proofErr w:type="spell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eşdeğer, </w:t>
      </w:r>
      <w:r w:rsidR="00FA55F9">
        <w:rPr>
          <w:rFonts w:ascii="Times New Roman" w:eastAsia="Calibri" w:hAnsi="Times New Roman" w:cs="Times New Roman"/>
          <w:sz w:val="24"/>
          <w:szCs w:val="24"/>
        </w:rPr>
        <w:t xml:space="preserve">1.0 </w:t>
      </w:r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mg </w:t>
      </w:r>
      <w:proofErr w:type="spellStart"/>
      <w:r w:rsidRPr="00ED46E6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46E6">
        <w:rPr>
          <w:rFonts w:ascii="Times New Roman" w:eastAsia="Calibri" w:hAnsi="Times New Roman" w:cs="Times New Roman"/>
          <w:sz w:val="24"/>
          <w:szCs w:val="24"/>
        </w:rPr>
        <w:t>dihidroklorür</w:t>
      </w:r>
      <w:proofErr w:type="spell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46E6">
        <w:rPr>
          <w:rFonts w:ascii="Times New Roman" w:eastAsia="Calibri" w:hAnsi="Times New Roman" w:cs="Times New Roman"/>
          <w:sz w:val="24"/>
          <w:szCs w:val="24"/>
        </w:rPr>
        <w:t>monohidrat</w:t>
      </w:r>
      <w:proofErr w:type="spell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içerir. </w:t>
      </w:r>
    </w:p>
    <w:p w:rsidR="00FA55F9" w:rsidRPr="00FA55F9" w:rsidRDefault="00FA55F9" w:rsidP="00FA5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A59" w:rsidRPr="004A3A59" w:rsidRDefault="004A3A59" w:rsidP="00ED46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Yardımcı maddeler: </w:t>
      </w:r>
    </w:p>
    <w:p w:rsidR="004A3A59" w:rsidRPr="004A3A59" w:rsidRDefault="00ED46E6" w:rsidP="004A3A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Mannitol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55F9" w:rsidRPr="001A2337">
        <w:rPr>
          <w:rFonts w:ascii="Times New Roman" w:hAnsi="Times New Roman" w:cs="Times New Roman"/>
          <w:sz w:val="24"/>
          <w:szCs w:val="24"/>
        </w:rPr>
        <w:t>119</w:t>
      </w:r>
      <w:proofErr w:type="gramEnd"/>
      <w:r w:rsidR="00FA55F9" w:rsidRPr="001A2337">
        <w:rPr>
          <w:rFonts w:ascii="Times New Roman" w:hAnsi="Times New Roman" w:cs="Times New Roman"/>
          <w:sz w:val="24"/>
          <w:szCs w:val="24"/>
        </w:rPr>
        <w:t xml:space="preserve">.50 </w:t>
      </w:r>
      <w:r w:rsidR="004A3A59" w:rsidRPr="004A3A59">
        <w:rPr>
          <w:rFonts w:ascii="Times New Roman" w:eastAsia="Calibri" w:hAnsi="Times New Roman" w:cs="Times New Roman"/>
          <w:sz w:val="24"/>
          <w:szCs w:val="24"/>
        </w:rPr>
        <w:t xml:space="preserve">mg </w:t>
      </w:r>
    </w:p>
    <w:p w:rsidR="004A3A59" w:rsidRPr="004A3A59" w:rsidRDefault="004A3A59" w:rsidP="004A3A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Diğer yardımcı maddelerin tam bir listesi için, bölüm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6.1’e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bakınız. </w:t>
      </w:r>
    </w:p>
    <w:p w:rsidR="0058246B" w:rsidRDefault="0058246B" w:rsidP="0058246B">
      <w:pPr>
        <w:pStyle w:val="Default"/>
      </w:pPr>
    </w:p>
    <w:p w:rsidR="00C93104" w:rsidRDefault="00C93104" w:rsidP="005D4C9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FARMAS</w:t>
      </w:r>
      <w:r w:rsidR="008C3C57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FA55F9" w:rsidRPr="00FA55F9" w:rsidRDefault="00FA55F9" w:rsidP="00FA55F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55F9">
        <w:rPr>
          <w:rFonts w:ascii="Times New Roman" w:eastAsia="Calibri" w:hAnsi="Times New Roman" w:cs="Times New Roman"/>
          <w:sz w:val="24"/>
          <w:szCs w:val="24"/>
        </w:rPr>
        <w:t>Tablet</w:t>
      </w:r>
    </w:p>
    <w:p w:rsidR="00FA55F9" w:rsidRPr="00FA55F9" w:rsidRDefault="00FA55F9" w:rsidP="00FA55F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55F9">
        <w:rPr>
          <w:rFonts w:ascii="Times New Roman" w:eastAsia="Calibri" w:hAnsi="Times New Roman" w:cs="Times New Roman"/>
          <w:sz w:val="24"/>
          <w:szCs w:val="24"/>
        </w:rPr>
        <w:t>Beyaz, yuvarlak, çentikli tabletler</w:t>
      </w:r>
    </w:p>
    <w:p w:rsidR="00FA55F9" w:rsidRPr="00FA55F9" w:rsidRDefault="00FA55F9" w:rsidP="00FA55F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55F9">
        <w:rPr>
          <w:rFonts w:ascii="Times New Roman" w:eastAsia="Calibri" w:hAnsi="Times New Roman" w:cs="Times New Roman"/>
          <w:sz w:val="24"/>
          <w:szCs w:val="24"/>
        </w:rPr>
        <w:t>Tabletler birbirine eşit iki yarıya bölünebilir niteliktedir.</w:t>
      </w:r>
    </w:p>
    <w:p w:rsidR="00616E59" w:rsidRPr="00A45B0D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45B0D" w:rsidRDefault="00C93104" w:rsidP="005D4C9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0D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Default="00BE6FEB" w:rsidP="005D4C9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FEB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BE6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FEB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RAMİPEX 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erişkinlerde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idiyopatik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Parkinson hastalığındaki bulgu ve belirtilerin tedavisinde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endikedir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. Tek başına (birlikte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olmaksızın) kullanılabilir ya da hastalığın seyri içinde, geç evrelere doğru,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levodopanın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etkisi azalarak geçmeye başladığında veya değişken hale geldiği için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terapötik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etkide dalgalanmalar ortaya çıktığında (doz sonu ya da gelgit (on/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off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 dalgalanmalar),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ile kombinasyon şeklinde kullanılabilir.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RAMİPEX 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erişkinlerde orta derecede ile şiddetli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idiyopatik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huzursuz bacak sendromunun (HBS)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semptomatik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tedavisinde, 0.75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mg’a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(tuz) kadar dozlarda (0.54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 kullanılmak üzere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endikedir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(bkz. Bölüm 4.2).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4.2 </w:t>
      </w:r>
      <w:proofErr w:type="spellStart"/>
      <w:r w:rsidRPr="004A3A59">
        <w:rPr>
          <w:rFonts w:ascii="Times New Roman" w:eastAsia="Calibri" w:hAnsi="Times New Roman" w:cs="Times New Roman"/>
          <w:b/>
          <w:sz w:val="24"/>
          <w:szCs w:val="24"/>
        </w:rPr>
        <w:t>Pozoloji</w:t>
      </w:r>
      <w:proofErr w:type="spellEnd"/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 ve uygulama şekli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3A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Parkinson hastalığı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b/>
          <w:sz w:val="24"/>
          <w:szCs w:val="24"/>
        </w:rPr>
        <w:t>Pozoloji</w:t>
      </w:r>
      <w:proofErr w:type="spellEnd"/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 / uygulama sıklığı ve süresi: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Günlük doz, üç eşit parçaya bölünmüş olarak (3 x) uygulanır.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Başlangıç tedavisi: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Dozaj, günde 0.375 mg (tuz) başlangıç dozundan (0.264 mg baz) itibaren basamaklı olarak artırılmalı ve doz artışları 5-7 günlük aralıklar ile yapılmalıdır. Hastalarda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tolere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edilemeyecek istenmeyen etkiler oluşmadığı sürece doz, maksimum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terapötik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etki alınıncaya değin titre edilmelidir.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1855"/>
        <w:gridCol w:w="1855"/>
        <w:gridCol w:w="1855"/>
        <w:gridCol w:w="1856"/>
      </w:tblGrid>
      <w:tr w:rsidR="004A3A59" w:rsidRPr="004A3A59" w:rsidTr="004B185B">
        <w:trPr>
          <w:trHeight w:val="135"/>
          <w:jc w:val="center"/>
        </w:trPr>
        <w:tc>
          <w:tcPr>
            <w:tcW w:w="8317" w:type="dxa"/>
            <w:gridSpan w:val="5"/>
          </w:tcPr>
          <w:p w:rsidR="004A3A59" w:rsidRPr="004A3A59" w:rsidRDefault="004A3A59" w:rsidP="004A3A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RAMİPEX Doz Artırma Şeması</w:t>
            </w:r>
          </w:p>
        </w:tc>
      </w:tr>
      <w:tr w:rsidR="004A3A59" w:rsidRPr="004A3A59" w:rsidTr="004B185B">
        <w:trPr>
          <w:trHeight w:val="247"/>
          <w:jc w:val="center"/>
        </w:trPr>
        <w:tc>
          <w:tcPr>
            <w:tcW w:w="89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Hafta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Doz (mg, baz)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Toplam günlük doz (mg, baz)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Doz (mg, tuz) </w:t>
            </w:r>
          </w:p>
        </w:tc>
        <w:tc>
          <w:tcPr>
            <w:tcW w:w="185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Toplam günlük doz (mg, tuz) </w:t>
            </w:r>
          </w:p>
        </w:tc>
      </w:tr>
      <w:tr w:rsidR="004A3A59" w:rsidRPr="004A3A59" w:rsidTr="004B185B">
        <w:trPr>
          <w:trHeight w:val="109"/>
          <w:jc w:val="center"/>
        </w:trPr>
        <w:tc>
          <w:tcPr>
            <w:tcW w:w="89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0.088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0.264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0.125 </w:t>
            </w:r>
          </w:p>
        </w:tc>
        <w:tc>
          <w:tcPr>
            <w:tcW w:w="185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0.375 </w:t>
            </w:r>
          </w:p>
        </w:tc>
      </w:tr>
      <w:tr w:rsidR="004A3A59" w:rsidRPr="004A3A59" w:rsidTr="004B185B">
        <w:trPr>
          <w:trHeight w:val="109"/>
          <w:jc w:val="center"/>
        </w:trPr>
        <w:tc>
          <w:tcPr>
            <w:tcW w:w="89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0.18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0.54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0.25 </w:t>
            </w:r>
          </w:p>
        </w:tc>
        <w:tc>
          <w:tcPr>
            <w:tcW w:w="185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0.75 </w:t>
            </w:r>
          </w:p>
        </w:tc>
      </w:tr>
      <w:tr w:rsidR="004A3A59" w:rsidRPr="004A3A59" w:rsidTr="004B185B">
        <w:trPr>
          <w:trHeight w:val="109"/>
          <w:jc w:val="center"/>
        </w:trPr>
        <w:tc>
          <w:tcPr>
            <w:tcW w:w="89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0.35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</w:t>
            </w:r>
            <w:proofErr w:type="gramStart"/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  <w:proofErr w:type="gramEnd"/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1.50 </w:t>
            </w:r>
          </w:p>
        </w:tc>
      </w:tr>
    </w:tbl>
    <w:p w:rsidR="00D4634B" w:rsidRDefault="00D4634B" w:rsidP="00D66E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Tablet çentikli olup, iki eşit parçaya bölünebilir niteliktedir. Böylece yukarıdaki şemada yer alan 0.125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mg’lık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doz, 0.250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mg’lık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bir tablet ortadan ikiye bölünerek alınabilir.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>Eğer dozun daha da yükseltilmesi gerekli olursa, günlük doz, haftalık aralıklar ile 0.75 mg tuz (0.54 mg baz) artırılmalıdır. Maksimum günlük doz 4.5 mg tuz (3.3 mg baz)’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dır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Ancak günlük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1.5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mg’ın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(tuz) üzerindeki dozlarda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insidansının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arttığına dikkat edilmelidir (bkz. Bölüm 4.8).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İdame tedavisi: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Günlük bireysel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dozları, 0.375 mg tuz (0.264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 ile maksimum 4.5 mg tuz (3.3 mg baz) aralığında olmalıdır. Yürütülen temel klinik araştırmalardaki doz artırımı sırasında, etkinlik günde 1.5 mg tuz dozuna başlanıldığında gözlenmiştir (1.1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). Daha ileri doz ayarlamaları, klinik yanıt ve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reaksiyon oluşumu temelinde yapılmalıdır. Klinik araştırmalarda hastaların yaklaşık %5’i, 1.5 mg tuzun altındaki dozlar ile tedavi edilmiştir (1.1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). Parkinson hastalığının ileri dönemlerinde,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tedavisinin azaltılması amaçlanan hastalar için, günde 1.5 mg tuz (1.1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 üzerindeki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dozları yarar sağlayabilir.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ile gerek doz artırımı gerekse idame tedavisi sırasında, hasta bireyin reaksiyonları doğrultusunda,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dozunun azaltılması önerilir (bkz. Bölüm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4.5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Tedavinin sonlandırılması: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tedavinin aniden kesilmesi,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nöroleptik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malign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sendrom gelişimine yol açabilir.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lastRenderedPageBreak/>
        <w:t>Pramipeksol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, günlük doz 0.75 mg tuza (0.54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>) düşünceye kadar, günde 0.75 mg tuz (0.54 mg baz), daha sonrasında ise günde 0.375 mg tuz (0.264 mg baz) azaltılarak, basamak tarzında sonlandırılmalıdır (bkz. Bölüm 4.4).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Uygulama şekli: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Tabletler ağız yolundan alınmalı ve su ile yutulmalıdır. Tabletler yiyeceklerle birlikte veya tek başına alınabilir.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Özel </w:t>
      </w:r>
      <w:proofErr w:type="gramStart"/>
      <w:r w:rsidRPr="004A3A59">
        <w:rPr>
          <w:rFonts w:ascii="Times New Roman" w:eastAsia="Calibri" w:hAnsi="Times New Roman" w:cs="Times New Roman"/>
          <w:b/>
          <w:sz w:val="24"/>
          <w:szCs w:val="24"/>
        </w:rPr>
        <w:t>popülasyonlara</w:t>
      </w:r>
      <w:proofErr w:type="gramEnd"/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 ilişkin ek bilgiler: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Böbrek yetmezliği: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eliminasyonu böbrek fonksiyonlarına bağımlıdır. Tedavi başlatılırken aşağıdaki doz şeması önerilir: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50 mL/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üzerinde olan hastalarda, günlük dozun ya da doz uygulama sıklığının azaltılması gerekli değildir.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20-50 mL/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arasında olan hastalarda başlangıçtaki günlük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Tablet dozu, iki bölünmüş doz şeklinde uygulanmalı ve günde iki kez 0.125 mg tuz (0.088 mg baz) ile başlanmalıdır (0.25 mg/gün tuz / 0.176 mg/gün baz). Günlük maksimum 2.25 mg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tuz dozu aşılmamalıdır (1.57 mg baz).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20 mL/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altındaki hastalarda günlük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Tablet dozu, günde tek doz şeklinde uygulanmalı ve günde 0.125 mg tuz (0.088 mg baz) ile başlanmalıdır. Günlük maksimum 1.5 mg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tuz dozu aşılmamalıdır (1.1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İdame tedavisi esnasında böbrek fonksiyonları azalır ise, günlük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Tablet dozu,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klerensindeki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azalma ile aynı oranda azaltılır; örn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eğer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%30 azalır ise, günlük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dozu da %30 oranında azaltılır. Günlük dozlar, eğer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20-50 mL/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arasında ise günde iki bölünmüş doz halinde ve eğer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20 mL/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altında ise, günde tek doz olarak verilir. </w:t>
      </w:r>
    </w:p>
    <w:p w:rsidR="004A3A59" w:rsidRPr="002B514D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Karaciğer yetmezliği: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Karaciğer yetmezliği olan hastalarda doz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azaltımı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muhtemelen gerekli olmayacaktır; çünkü emilen etkin maddenin yaklaşık %90’ı böbrek yoluyla atılmaktadır. Ancak, karaciğer yetmezliğinin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farmakokinetiği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üzerindeki potansiyel etkisi incelenmemiştir. </w:t>
      </w:r>
    </w:p>
    <w:p w:rsidR="004A3A59" w:rsidRPr="002B514D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Pediyatrik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A3A59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18 yaşından küçük çocuklardaki etkinliği ve güvenliliği belirlenmemiştir.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RAMİPEX’i</w:t>
      </w:r>
      <w:r w:rsidRPr="004A3A59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Parkinson hastalığında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popülasyona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ilişkin bir kullanım alanı bulunmamaktadır. </w:t>
      </w:r>
    </w:p>
    <w:p w:rsidR="004A3A59" w:rsidRPr="002B514D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Geriyatrik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>’nın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eliminasyon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yarı ömrü, yaşlılarda daha uzundur (bkz. Bölüm 5.2). </w:t>
      </w:r>
    </w:p>
    <w:p w:rsidR="002B514D" w:rsidRDefault="002B514D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A3A59" w:rsidRPr="002B514D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Huzursuz bacak sendromu </w:t>
      </w:r>
    </w:p>
    <w:p w:rsidR="004A3A59" w:rsidRPr="002B514D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Pozoloji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/ uygulama sıklığı ve süresi: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Önerilen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Tablet başlangıç dozu, günde bir kez, gece yatmadan 2-3 saat önce alınan 0.125 mg tuzdur (0.088 mg baz). Daha fazla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semptomatik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iyileşmeye ihtiyaç duyulan hastalarda, doz her 4-7 günde bir artırılarak, günde maksimum 0.75 mg tuza (0.54 mg baz) kadar çıkılabilir (aşağıdaki tabloda gösterildiği şekilde).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261"/>
        <w:gridCol w:w="3118"/>
      </w:tblGrid>
      <w:tr w:rsidR="004A3A59" w:rsidRPr="004A3A59" w:rsidTr="00ED46E6">
        <w:trPr>
          <w:trHeight w:val="130"/>
          <w:jc w:val="center"/>
        </w:trPr>
        <w:tc>
          <w:tcPr>
            <w:tcW w:w="7621" w:type="dxa"/>
            <w:gridSpan w:val="3"/>
          </w:tcPr>
          <w:p w:rsidR="004A3A59" w:rsidRPr="004A3A59" w:rsidRDefault="004A3A59" w:rsidP="004A3A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RAMİPEX</w:t>
            </w:r>
            <w:r w:rsidRPr="004A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Doz Şeması</w:t>
            </w:r>
          </w:p>
        </w:tc>
      </w:tr>
      <w:tr w:rsidR="004A3A59" w:rsidRPr="004A3A59" w:rsidTr="00ED46E6">
        <w:trPr>
          <w:trHeight w:val="238"/>
          <w:jc w:val="center"/>
        </w:trPr>
        <w:tc>
          <w:tcPr>
            <w:tcW w:w="1242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>Titrasyon</w:t>
            </w:r>
            <w:proofErr w:type="spellEnd"/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aşaması </w:t>
            </w:r>
          </w:p>
        </w:tc>
        <w:tc>
          <w:tcPr>
            <w:tcW w:w="3261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Günde bir kez, akşam dozu </w:t>
            </w:r>
          </w:p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(mg, baz) </w:t>
            </w:r>
          </w:p>
        </w:tc>
        <w:tc>
          <w:tcPr>
            <w:tcW w:w="3118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Günde bir kez, akşam dozu </w:t>
            </w:r>
          </w:p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(mg, tuz) </w:t>
            </w:r>
          </w:p>
        </w:tc>
      </w:tr>
      <w:tr w:rsidR="004A3A59" w:rsidRPr="004A3A59" w:rsidTr="00ED46E6">
        <w:trPr>
          <w:trHeight w:val="105"/>
          <w:jc w:val="center"/>
        </w:trPr>
        <w:tc>
          <w:tcPr>
            <w:tcW w:w="1242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0.088 </w:t>
            </w:r>
          </w:p>
        </w:tc>
        <w:tc>
          <w:tcPr>
            <w:tcW w:w="3118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0.125 </w:t>
            </w:r>
          </w:p>
        </w:tc>
      </w:tr>
      <w:tr w:rsidR="004A3A59" w:rsidRPr="004A3A59" w:rsidTr="00ED46E6">
        <w:trPr>
          <w:trHeight w:val="105"/>
          <w:jc w:val="center"/>
        </w:trPr>
        <w:tc>
          <w:tcPr>
            <w:tcW w:w="1242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2* </w:t>
            </w:r>
          </w:p>
        </w:tc>
        <w:tc>
          <w:tcPr>
            <w:tcW w:w="3261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0.18 </w:t>
            </w:r>
          </w:p>
        </w:tc>
        <w:tc>
          <w:tcPr>
            <w:tcW w:w="3118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0.25 </w:t>
            </w:r>
          </w:p>
        </w:tc>
      </w:tr>
      <w:tr w:rsidR="004A3A59" w:rsidRPr="004A3A59" w:rsidTr="00ED46E6">
        <w:trPr>
          <w:trHeight w:val="105"/>
          <w:jc w:val="center"/>
        </w:trPr>
        <w:tc>
          <w:tcPr>
            <w:tcW w:w="1242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3261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0.35 </w:t>
            </w:r>
          </w:p>
        </w:tc>
        <w:tc>
          <w:tcPr>
            <w:tcW w:w="3118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0.50 </w:t>
            </w:r>
          </w:p>
        </w:tc>
      </w:tr>
      <w:tr w:rsidR="004A3A59" w:rsidRPr="004A3A59" w:rsidTr="00ED46E6">
        <w:trPr>
          <w:trHeight w:val="105"/>
          <w:jc w:val="center"/>
        </w:trPr>
        <w:tc>
          <w:tcPr>
            <w:tcW w:w="1242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4* </w:t>
            </w:r>
          </w:p>
        </w:tc>
        <w:tc>
          <w:tcPr>
            <w:tcW w:w="3261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0.54 </w:t>
            </w:r>
          </w:p>
        </w:tc>
        <w:tc>
          <w:tcPr>
            <w:tcW w:w="3118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0.75 </w:t>
            </w:r>
          </w:p>
        </w:tc>
      </w:tr>
      <w:tr w:rsidR="004A3A59" w:rsidRPr="004A3A59" w:rsidTr="00ED46E6">
        <w:trPr>
          <w:trHeight w:val="105"/>
          <w:jc w:val="center"/>
        </w:trPr>
        <w:tc>
          <w:tcPr>
            <w:tcW w:w="7621" w:type="dxa"/>
            <w:gridSpan w:val="3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Gerek duyulursa </w:t>
            </w:r>
          </w:p>
        </w:tc>
      </w:tr>
    </w:tbl>
    <w:p w:rsidR="004A3A59" w:rsidRDefault="004A3A59" w:rsidP="00D66E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Tablet çentikli olup, iki eşit parçaya bölünebilir niteliktedir.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Üç aylık tedaviden sonra hastanın yanıtı değerlendirilmeli ve tedaviye devamın gerekli olup olmadığı yeniden irdelenmelidir. Eğer tedaviye birkaç günden daha uzun süreyle ara verildiyse, tedavi yeniden başlatılırken, yukarıda verilen doz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titrasyonu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uygulanmalıdır.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Tedavinin sonlandırılması: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HBS’nun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tedavisindeki günlük doz 0.75 mg tuzu (0.54 mg baz) geçmeyeceği için,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basamak tarzında doz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azaltımı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yapılmaksızın sonlandırılabilir. Yirmi altı haftalık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kontrollü bir klinik araştırmada,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aniden kesildikten sonra, hastaların %10’unda (135 hastadan 14’ü) HBS semptomlarının yeniden belirdiği (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rebound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; başlangıç dönemine kıyasla semptom şiddetinin ağırlaşması) gözlenmiştir. Bu etkinin tüm doz düzeyleri arasında benzer olduğu bulunmuştur.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Uygulama şekli: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Tabletler ağız yolundan alınmalı ve su ile yutulmalıdır. Tabletler yiyeceklerle birlikte veya tek başına alınabilir.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Özel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popülasyonlara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ilişkin ek bilgiler: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Böbrek yetmezliği: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lastRenderedPageBreak/>
        <w:t>Pramipeksolün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eliminasyonu böbrek fonksiyonlarına bağımlıdır.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20 mL/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üzerinde olan hastalarda günlük dozun azaltılması gerekli değildir.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Hemodiyaliz hastalarında ya da şiddetli böbrek yetmezliği olan hastalarda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kullanımı üzerinde çalışma yapılmamıştır.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Karaciğer yetmezliği: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Emilen etkin maddenin yaklaşık %90’ı böbrekler yoluyla atıldığı için, karaciğer yetmezliği olan hastalarda doz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azaltımı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gerekli değildir.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Pediyatrik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Güvenlilik ve etkinlik üzerinde veri bulunmadığı için, çocuklarda ve 18 yaşından küçük ergenlerde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kullanımı önerilmemektedir.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Geriyatrik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>’nın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eliminasyon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yarı ömrü, yaşlılarda daha uzundur (bkz. Bölüm 5.2).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Tourette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hastalığı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popülasyonda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güvenlilik ve etkinlik belirlenmemiş olduğu için, çocuklarda ve 18 yaşından küçük ergenlerde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kullanımı önerilmemektedir. Bu hastalıktaki negatif yarar-risk dengesi nedeniyle,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Tourette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hastalığı olan çocuk ve ergenlerde kullanılmamalıdır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5.1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4.3 </w:t>
      </w: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Kontrendikasyonlar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Etkin maddeye ya da ürünün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6.1’de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listelenen herhangi bir bileşenine karşı aşırı duyarlılık.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4.4 Özel kullanım uyarıları ve önlemleri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Böbrek yetmezliği olan bir Parkinson hastasına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reçete edilirken,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4.2’de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açıklanan doğrultuda bir doz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azaltımı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önerilir.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Halusinasyonlar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Halusinasyonların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agonistleri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tedavilerinin bir yan etkisi olduğu bilinmektedir. Hastalar,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halusinasyonların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(çoğunlukla görsel) oluşabileceği konusunda bilgilendirilmelidir.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Diskinezi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İlerlemiş Parkinson hastalığında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kombinasyon tedavisinde,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="007631E6">
        <w:rPr>
          <w:rFonts w:ascii="Times New Roman" w:eastAsia="Calibri" w:hAnsi="Times New Roman" w:cs="Times New Roman"/>
          <w:sz w:val="24"/>
          <w:szCs w:val="24"/>
        </w:rPr>
        <w:t>’i</w:t>
      </w:r>
      <w:r w:rsidRPr="002B514D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başlangıç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titrasyonu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sırasında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ortaya çıkabilir. Eğer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ortaya çıkarsa,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dozu azaltılmalıdır. </w:t>
      </w:r>
    </w:p>
    <w:p w:rsidR="002B514D" w:rsidRPr="007631E6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31E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Ani uyku çökmeleri ve </w:t>
      </w:r>
      <w:proofErr w:type="spellStart"/>
      <w:r w:rsidRPr="007631E6">
        <w:rPr>
          <w:rFonts w:ascii="Times New Roman" w:eastAsia="Calibri" w:hAnsi="Times New Roman" w:cs="Times New Roman"/>
          <w:sz w:val="24"/>
          <w:szCs w:val="24"/>
          <w:u w:val="single"/>
        </w:rPr>
        <w:t>somnolans</w:t>
      </w:r>
      <w:proofErr w:type="spellEnd"/>
      <w:r w:rsidRPr="007631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özellikle Parkinson hastalarında,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ve ani uyku çökmesi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episodlarıyla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ilişkilendirilmiştir. Seyrek olarak, günlük yaşam aktiviteleri esnasında ani uyku çökmesi bildirilmiştir; bu durum, bazı olgularda farkında olmaksızın ya da uyarıcı belirtiler bulunmaksızın ortaya çıkabilir. Hastalar bu konu hakkında bilgilendirilmeli ve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tedavisi sırasında araba kullanırken ya da makine çalıştırırken dikkatli olmaları söylenmelidir.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ve/veya ani uyku çökmesi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episodu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geçiren hastalar araba kullanma ya da makine çalıştırma gibi işlerden uzak durmalıdır. Bundan başka, dozun azaltılması ya da tedavinin sonlandırılması gündeme getirilebilir. Olası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aditif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etkiler nedeniyle, hastalar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birlikte başka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sedatif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 ya da alkol alıyorlar ise, dikkatli olmaları yönünde uyarılmalıdır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4.5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4.7 ve 4.8).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İmpuls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kontrol bozuklukları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Hastalar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kontrol bozuklukları gelişimi yönüyle düzenli bir şekilde izlenmelidir. Hastalar ve hastaların bakım ve tedavisiyle ilgilenen kişiler,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dahil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agonistleriyle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 edilen hastalarda,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kontrol bozukluklarına ilişkin, patolojik kumar oynama, libido artışı,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harcama ya da alışveriş, aşırı yeme ve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yeme gibi davranışsal semptomların oluşabileceği konusunda bilgilendirilmelidir. Bu gibi semptomların gelişmesi durumunda dozun azaltılması ya da basamaklı şekilde azaltılarak sonlandırılması gündeme getirilmelidir.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Psikotik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bozuklukları olan hastalar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Psikotik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bozuklukları olan hastalar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agonistleriyle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yalnızca, potansiyel yararların risklere karşı ağır bastığı durumlarda tedavi edilmelidir.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Antipsikotik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ilaçların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birlikte kullanılmasından kaçınılmalıdır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4.5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Oftalmolojik izleme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Düzenli aralıklarla ya da görme anormalliklerinin ortaya çıkması durumunda oftalmolojik izleme yapılması önerilmektedir.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Ağır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kardiyovasküler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hastalık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Ağır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kardiyovasküler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hastalık durumunda dikkatli olunmalıdır.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 ile genel olarak ilişkili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postüral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hipotansiyon riski nedeniyle, özellikle tedavi başlangıcında kan basıncının izlenmesi önerilir.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Nöroleptik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malign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sendrom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tedavinin aniden kesilmesiyle,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nöroleptik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malign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sendromu düşündüren semptomlar bildirilmiştir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Huzursuz bacak sendromunda artış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Literatürdeki raporlar, huzursuz bacak sendromunda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ilaçlarla tedavinin, hastalığın artmasıyla sonuçlanabileceğine işaret etmektedir. Hastalığın artması ifadesiyle, semptomların akşamları daha erken bir zamanda başlaması (hatta öğleden sonra), semptomlarda artış ve semptomların diğer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ekstremiteleri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de tutacak şekilde yayılması belirtilmektedir. Hastalıkta artış olayı, kontrollü bir klinik araştırmada, 26 hafta boyunca özel olarak incelenmiştir. Hastalıkta artış,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grubundaki hastaların (N = 152) %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11.8’inde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grubundaki hastaların (N = 149) ise %9.4’ünde ortaya çıkmıştır. Artışa kadar geçen sürenin Kaplan-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Meier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analizinde,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grupları arasında anlamlı bir farklılık gösterilmemiştir.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RAMİPEX,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634" w:rsidRPr="001A2337">
        <w:rPr>
          <w:rFonts w:ascii="Times New Roman" w:hAnsi="Times New Roman" w:cs="Times New Roman"/>
          <w:sz w:val="24"/>
          <w:szCs w:val="24"/>
        </w:rPr>
        <w:t>119.50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mg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2B514D">
        <w:rPr>
          <w:rFonts w:ascii="Times New Roman" w:eastAsia="Calibri" w:hAnsi="Times New Roman" w:cs="Times New Roman"/>
          <w:sz w:val="24"/>
          <w:szCs w:val="24"/>
        </w:rPr>
        <w:t>annitol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içermektedir, ancak bu miktar herhangi bir uyarı gerektirmemektedir. </w:t>
      </w:r>
    </w:p>
    <w:p w:rsid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4.5 Diğer tıbbi ürünlerle etkileşimler ve diğer etkileşim şekilleri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Plazma proteinlerine bağlanma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plazma proteinlerine çok düşük bir düzeyde (&lt; %20) bağlanır ve insanlarda düşük boyutlarda bir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biyotransformasyon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görülür. Bu nedenle plazma proteinlerine bağlanmayı etkileyen ya da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biyotransformasyon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yoluyla eliminasyon üzerinde etkili olan diğer ilaçlar ile etkileşim olasılığı yok gibidir.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Antikolinerjik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 esas olarak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biyotransformasyon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yoluyla elimine edildiğinden, etkileşim potansiyeli kısıtlıdır; ancak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antikolinerjiklerle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etkileşim incelenmemiştir.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Selegilin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farmakokinetik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etkileşim bulunmamaktadır.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Aktif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renal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eliminasyon yolağı inhibitörleri/yarışmacıları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Simetidin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premipeksolün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renal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klerensini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muhtemelen böbrek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tübüllerindeki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katyonik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sekretuar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transport sistemini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ederek, yaklaşık %34 oranında azaltmıştır. Bu nedenle,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simetidin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amantadin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meksiletin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zidovudin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sisplatin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kinin ve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prokainamid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gibi bu aktif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renal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eliminasyon yolağını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eden, ya da bu yol ile elimine olan ilaçlar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etkileşebilir ve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klerensinde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azalmaya yol açabilirler. Bu ilaçlar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birlikte uygulandığında,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dozunun azaltılması düşünülmelidir.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kombinasyon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kombinasyon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şeklinde verilirken,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dozunun azaltılması, ve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dozu artırılırken, diğer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antiparkinson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ilaçların dozlarının sabit tutulması önerilmektedir.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lastRenderedPageBreak/>
        <w:t>Aditif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etki olasılığı nedeniyle, hastaların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birlikte başka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sedasyon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yapıcı ilaçlar ya da alkol almaları durumunda dikkatli olmaları tavsiye edilmelidir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4.7 ve 4.8).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Antipsikotik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Eğer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antagonistik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etkiler bekleniyorsa,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antipsikotik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ilaçların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birlikte kullanılmasından kaçınılmalıdır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Özel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popülasyonlara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ilişkin ek bilgiler: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Özel bir veri bulunmamaktadır.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Pediyatrik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A3A59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>Özel bir veri bulunmamaktadır.</w:t>
      </w:r>
    </w:p>
    <w:p w:rsidR="00844C8C" w:rsidRDefault="00844C8C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4.6 Gebelik ve </w:t>
      </w:r>
      <w:proofErr w:type="spellStart"/>
      <w:r w:rsidRPr="00844C8C">
        <w:rPr>
          <w:rFonts w:ascii="Times New Roman" w:eastAsia="Calibri" w:hAnsi="Times New Roman" w:cs="Times New Roman"/>
          <w:b/>
          <w:sz w:val="24"/>
          <w:szCs w:val="24"/>
        </w:rPr>
        <w:t>laktasyon</w:t>
      </w:r>
      <w:proofErr w:type="spellEnd"/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Genel tavsiye: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Gebelik kategorisi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C’dir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8C">
        <w:rPr>
          <w:rFonts w:ascii="Times New Roman" w:eastAsia="Calibri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844C8C">
        <w:rPr>
          <w:rFonts w:ascii="Times New Roman" w:eastAsia="Calibri" w:hAnsi="Times New Roman" w:cs="Times New Roman"/>
          <w:b/>
          <w:sz w:val="24"/>
          <w:szCs w:val="24"/>
        </w:rPr>
        <w:t>Kontrasepsiyon</w:t>
      </w:r>
      <w:proofErr w:type="spellEnd"/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Çocuk doğurma potansiyeli bulunan kadınlar, tedavi süresince tıbben etkili olduğu kabul edilen doğum kontrol yöntemleri kullanmalıdır.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Gebelik dönemi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İnsanlarda gebelik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laktasyon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üzerindeki etkileri araştırılmamıştır.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sıçanlarda ve tavşanlarda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teratojenik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etki göstermemiş, ama sıçanlarda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maternotoksik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dozlarda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embriyotoksik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etki göstermiştir (bkz. Bölüm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5.3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44C8C" w:rsidRPr="00844C8C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RAMİPEX </w:t>
      </w:r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gebelik sırasında açıkça gerekli olmadığı sürece kullanılmamalı, yalnızca potansiyel yararları, fetüs üzerindeki olası riske ağır bastığında kullanılmalıdır.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44C8C">
        <w:rPr>
          <w:rFonts w:ascii="Times New Roman" w:eastAsia="Calibri" w:hAnsi="Times New Roman" w:cs="Times New Roman"/>
          <w:b/>
          <w:sz w:val="24"/>
          <w:szCs w:val="24"/>
        </w:rPr>
        <w:t>Laktasyon</w:t>
      </w:r>
      <w:proofErr w:type="spellEnd"/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 dönemi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İnsanlarda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tedavisinin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prolaktin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sekresyonunu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etmesi nedeniyle,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laktasyon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inhibisyonu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beklenmektedir.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kadınlarda süte geçip geçmediği üzerinde çalışılmamıştır. Sıçanlarda etkin maddeye ait radyoaktivitenin sütteki konsantrasyonu, plazmadakinden daha yüksektir.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İnsanlar üzerinde veri bulunmaması nedeniyle, emzirme sırasında </w:t>
      </w:r>
      <w:r w:rsidR="00E912CF">
        <w:rPr>
          <w:rFonts w:ascii="Times New Roman" w:eastAsia="Calibri" w:hAnsi="Times New Roman" w:cs="Times New Roman"/>
          <w:sz w:val="24"/>
          <w:szCs w:val="24"/>
        </w:rPr>
        <w:t>RAMİPEX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kullanılmamalıdır. Ancak kullanımından kaçınılamıyor ise, emzirmeye son verilmelidir.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>Üreme yeteneği/</w:t>
      </w: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Fertilite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İnsan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fertilitesi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üzerinde çalışma yapılmamıştır.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hayvan çalışmalarında, bir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agonistinden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beklendiği şekilde,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östrus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döngülerini etkilemiş ve dişi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fertilitesini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4C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azaltmıştır. Ancak bu çalışmalarda erkek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fertilitesine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yönelik, doğrudan ya da dolaylı zararlı etkiler gösterilmemiştir. </w:t>
      </w:r>
    </w:p>
    <w:p w:rsidR="00E912CF" w:rsidRPr="00844C8C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4.7 Araç ve makine kullanımı üzerindeki etkiler </w:t>
      </w:r>
    </w:p>
    <w:p w:rsidR="00844C8C" w:rsidRPr="00844C8C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araç kullanma ve makine işletme becerilerini önemli ölçüde etkileyebilir.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ya 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oluşabilir. </w:t>
      </w:r>
    </w:p>
    <w:p w:rsidR="00844C8C" w:rsidRPr="00844C8C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ile tedavi edilmekte olan ve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ve/veya ani uyku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episodları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geçiren hastalara, bu türlü tekrarlayıcı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episodlar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hali iyileşinceye kadar, araba kullanmaktan veya dikkat eksikliği nedeniyle kendilerini ya da başkalarını ağır yaralanma ya da ölüm riskine atabilecek aktivitelerden (örn. makine çalıştırma) uzak durmaları gerektiği söylenmelidir (bkz. Bölüm </w:t>
      </w:r>
      <w:proofErr w:type="gram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4.5 ve 4.8). </w:t>
      </w:r>
    </w:p>
    <w:p w:rsidR="00E912CF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4.8 İstenmeyen etkiler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Beklenen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reaksiyonlar </w:t>
      </w:r>
    </w:p>
    <w:p w:rsidR="00844C8C" w:rsidRPr="00844C8C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kullanımı esnasında aşağıdaki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reaksiyonlar beklenmektedir; anormal rüyalar, amnezi; aşırı yeme,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alışveriş,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ve patolojik kumar oynama gibi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kontrol bozuklukları ve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kompulsiyonlara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ilişkin davranışsal semptomlar; kalp yetmezliği,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konfüzyon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konstipasyon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delüzyon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baş dönmesi,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dispne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bitkinlik,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baş ağrısı, hıçkırık,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hiperkinezi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hiperfaji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hipotansiyon, uygunsuz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antidiüretik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hormon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salınımı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uykusuzluk, libido bozuklukları, bulantı, paranoya,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periferik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ödem,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pnömoni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; kaşıntı, döküntü ve diğer aşırı duyarlılık reaksiyonları; huzursuzluk,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ani uyku çökmesi,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senkop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diplopi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bulanık görme ve görme keskinliğinde azalma dahil görme bozuklukları; kusma, iştah azalması dahil kilo kaybı, kilo artışı.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verilen toplam 1,923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verilen toplam 1,345 hasta üzerinde yürütülen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kontrollü araştırmaların toplu analizi temelinde,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reaksiyonları her iki grupta da sık olarak bildirilmiştir.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alan hastaların %63’ü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alan hastaların %52’si en az bir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reaksiyonu bildirmiştir.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Liste 1 ve Liste 2’de, Parkinson hastalığı ve huzursuz bacak sendromunda yürütülen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kontrollü klinik araştırmalardaki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reaksiyonlarının sıklıkları yer almaktadır. Bu listelerde verilen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reaksiyonları,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ile tedavi edilen hastaların %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0.1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ya da daha fazlasında ortaya çıkan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alan hastalarda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alanlara göre anlamlı olarak daha sık bildirilmiş olan, ya da klinik önem taşıdığı kabul edilen olaylardır.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reaksiyonlarının büyük çoğunluğu hafif ile orta dereceli olmuş, genellikle tedavinin erken </w:t>
      </w:r>
      <w:r w:rsidRPr="00844C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dönemlerinde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başlamış,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ve çoğu tedaviye devam edilmesine karşın kaybolma eğilimi göstermiştir.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reaksiyonlar, aşağıdaki sıklık kategorileri kullanılarak, sistem-organ sınıfları içerisinde sıklık derecesi (reaksiyon geçirmesi beklenen hasta sayısı) başlığı altında listelenmiştir: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Çok yaygın </w:t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≥ 1/10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 </w:t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≥ 1/100 ilâ &lt; 1/10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>Yaygın olmayan</w:t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≥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1/1,000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ilâ &lt; 1/100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>Seyrek</w:t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≥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1/10,000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ilâ &lt; 1/1,000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Çok seyrek </w:t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&lt;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1/10,000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Bilinmiyor (eldeki verilerden hareketle tahmin edilemiyor).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Parkinson hastalığında en yaygın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reaksiyonlar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Parkinson hastalarında en yaygın (≥%5) olarak bildirilen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tedavisinde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ile olduğundan daha sık görülen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reaksiyonları şunlardır; bulantı,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hipotansiyon, baş dönmesi,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uykusuzluk,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konstipasyon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halusinasyon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baş ağrısı ve bitkinlik.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insidansı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günde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1.5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mg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tuzun üstündeki dozlarda artmaktadır (bkz. Bölüm 4.2).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ile kombinasyonda daha sık görülen bir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reaksiyonu,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olmuştur. Tedavinin başlangıcında, özellikle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çok hızlı titre edildiğinde, hipotansiyon ortaya çıkabilir. </w:t>
      </w:r>
    </w:p>
    <w:p w:rsidR="00844C8C" w:rsidRPr="007631E6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31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Liste 1: Parkinson hastalığı: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Enfeksiyonlar ve </w:t>
      </w: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enfestasyonlar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 olmayan: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Pnömoni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Endokrin hastalıklar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 olmayan: Uygunsuz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antidiüretik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hormon salınımı</w:t>
      </w:r>
      <w:r w:rsidRPr="007631E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Psikiyatrik hastalıklar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Yaygın: Anormal rüyalar,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kontrol bozuklukları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kompulsiyonlara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ilişkin davranışsal semptomlar,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konfüzyon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uykusuzluk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>Yaygın olmayan: Aşırı yeme</w:t>
      </w:r>
      <w:r w:rsidRPr="00E912C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alışveriş,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delüzyon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>, hiperfaji</w:t>
      </w:r>
      <w:r w:rsidRPr="00E912C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libido bozuklukları, paranoya, patolojik kumar oynama, huzursuzluk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Sinir sistemi hastalıkları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Çok yaygın: Baş dönmesi,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Yaygın: Baş ağrısı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 olmayan: Amnezi,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hiperkinezi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ani uyku çökmesi,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senkop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Göz hastalıkları </w:t>
      </w:r>
    </w:p>
    <w:p w:rsidR="00E912CF" w:rsidRPr="00E912CF" w:rsidRDefault="00844C8C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Yaygın: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Diplopi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>, bulanık görme ve görm</w:t>
      </w:r>
      <w:r w:rsidR="00E912CF">
        <w:rPr>
          <w:rFonts w:ascii="Times New Roman" w:eastAsia="Calibri" w:hAnsi="Times New Roman" w:cs="Times New Roman"/>
          <w:sz w:val="24"/>
          <w:szCs w:val="24"/>
        </w:rPr>
        <w:t xml:space="preserve">e keskinliğinde </w:t>
      </w:r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azalma dahil görme bozuklukları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Kardiyak hastalıklar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>Yaygın olmayan: Kalp yetmezliği</w:t>
      </w:r>
      <w:r w:rsidRPr="00E912C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Vasküler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Yaygın: Hipotansiyon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Solunum, göğüs bozuklukları ve </w:t>
      </w: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mediyastinal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 olmayan: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Dispne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hıçkırık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Gastrointestinal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Çok yaygın: Bulantı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Yaygın: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Konstipasyon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kusma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Deri ve derialtı dokusu hastalıkları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 olmayan: Aşırı duyarlılık, kaşıntı, döküntü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Genel bozukluklar ve uygulama bölgesine ilişkin hastalıklar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Yaygın: Bitkinlik,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periferik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ödem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Araştırmalar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Yaygın: İştah azalması dahil kilo kaybı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 olmayan: Kilo artışı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Bu yan etki pazarlama sonrası deneyimde gözlenmiştir. %95 kesinlikle sıklık kategorisi yaygın olmayandan daha büyük değildir, ama daha düşük olabilir. Bu yan etki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tedavi edilen 2,762 Parkinson hastasından oluşan klinik araştırma veritabanında bulunmadığı için kesin bir sıklık tahmini yapılması mümkün değildir. </w:t>
      </w:r>
    </w:p>
    <w:p w:rsid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Huzursuz bacak sendromunda en yaygın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reaksiyonlar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ile tedavi edilen huzursuz bacak sendromu hastalarında en yaygın (≥%5) olarak bildirilen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ilaç reaksiyonları şunlardır; bulantı, baş ağrısı, baş dönmesi ve bitkinlik. Bulantı ve bitkinlik,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ile tedavi edilen kadın hastalarda, erkek hastalara kıyasla daha sık bildirilmiştir (sırasıyla %</w:t>
      </w:r>
      <w:proofErr w:type="gramStart"/>
      <w:r w:rsidRPr="00A44D21">
        <w:rPr>
          <w:rFonts w:ascii="Times New Roman" w:eastAsia="Calibri" w:hAnsi="Times New Roman" w:cs="Times New Roman"/>
          <w:sz w:val="24"/>
          <w:szCs w:val="24"/>
        </w:rPr>
        <w:t>20.8</w:t>
      </w:r>
      <w:proofErr w:type="gram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ve %10.5’e karşı %6.7 ve %7.3). </w:t>
      </w:r>
    </w:p>
    <w:p w:rsid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44D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Liste 2: Huzursuz bacak sendromu: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Enfeksiyonlar ve </w:t>
      </w:r>
      <w:proofErr w:type="spellStart"/>
      <w:r w:rsidRPr="00A44D21">
        <w:rPr>
          <w:rFonts w:ascii="Times New Roman" w:eastAsia="Calibri" w:hAnsi="Times New Roman" w:cs="Times New Roman"/>
          <w:b/>
          <w:sz w:val="24"/>
          <w:szCs w:val="24"/>
        </w:rPr>
        <w:t>enfestasyonlar</w:t>
      </w:r>
      <w:proofErr w:type="spellEnd"/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>Yaygın olmayan: Pnömoni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Endokrin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Uygunsuz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antidiüretik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hormon salınımı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Psikiyatrik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Yaygın: Anormal rüyalar, uykusuzluk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Aşırı yeme,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alışveriş,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ve patolojik kumar oynama gibi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kontrol bozuklukları ve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kompulsiyonlara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ilişkin davranışsal semptomlar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konfüzyon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>, delüzyon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>, hiperfaji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>, libido bozuklukları, paranoya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huzursuzluk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Sinir sistemi hastalıkları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Yaygın: Baş dönmesi, baş ağrısı,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>Yaygın olmayan: Amnezi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>, hiperkinezi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ani uyku çökmesi,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senkop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Göz hastalıkları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Diplopi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bulanık görme ve görme keskinliğinde azalma dahil görme bozuklukları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Kardiyak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>Yaygın olmayan: Kalp yetmezliği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44D21">
        <w:rPr>
          <w:rFonts w:ascii="Times New Roman" w:eastAsia="Calibri" w:hAnsi="Times New Roman" w:cs="Times New Roman"/>
          <w:b/>
          <w:sz w:val="24"/>
          <w:szCs w:val="24"/>
        </w:rPr>
        <w:t>Vasküler</w:t>
      </w:r>
      <w:proofErr w:type="spellEnd"/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Hipotansiyon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Solunum, göğüs bozuklukları ve </w:t>
      </w:r>
      <w:proofErr w:type="spellStart"/>
      <w:r w:rsidRPr="00A44D21">
        <w:rPr>
          <w:rFonts w:ascii="Times New Roman" w:eastAsia="Calibri" w:hAnsi="Times New Roman" w:cs="Times New Roman"/>
          <w:b/>
          <w:sz w:val="24"/>
          <w:szCs w:val="24"/>
        </w:rPr>
        <w:t>mediyastinal</w:t>
      </w:r>
      <w:proofErr w:type="spellEnd"/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Dispne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hıçkırık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44D21">
        <w:rPr>
          <w:rFonts w:ascii="Times New Roman" w:eastAsia="Calibri" w:hAnsi="Times New Roman" w:cs="Times New Roman"/>
          <w:b/>
          <w:sz w:val="24"/>
          <w:szCs w:val="24"/>
        </w:rPr>
        <w:t>Gastrointestinal</w:t>
      </w:r>
      <w:proofErr w:type="spellEnd"/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Çok yaygın: Bulantı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Yaygın: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Konstipasyon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kusma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Deri ve derialtı dokusu hastalıkları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Aşırı duyarlılık, kaşıntı, döküntü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Genel bozukluklar ve uygulama bölgesine ilişkin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Yaygın: Bitkinlik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Periferik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ödem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Araştırmalar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İştah azalması dahil kilo kaybı, kilo artışı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Bu yan etki pazarlama sonrası deneyimde gözlenmiştir. %95 kesinlikle sıklık kategorisi yaygın olmayandan daha büyük değildir, ama daha düşük olabilir. Bu yan etki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ile tedavi edilen 1,395 huzursuz bacak sendromu hastasından oluşan klinik araştırma veritabanında bulunmadığı için kesin bir sıklık tahmini yapılması mümkün değildir. </w:t>
      </w:r>
    </w:p>
    <w:p w:rsidR="00A44D21" w:rsidRDefault="00A44D21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yaygın ölçüde ilişkili, gündüzleri aşırı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ani uyku çökmesi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episodlarıyla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seyrek ölçüde ilişkili bulunmuştur (bkz. Bölüm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44D21" w:rsidRDefault="00A44D21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Libido bozuklukları </w:t>
      </w:r>
    </w:p>
    <w:p w:rsidR="00E912CF" w:rsidRPr="00E912CF" w:rsidRDefault="00EB0ABB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libido bozuklukları (artma ya da azalma) ile seyrek ölçüde ilişkili olabilir. </w:t>
      </w:r>
    </w:p>
    <w:p w:rsidR="00A44D21" w:rsidRDefault="00A44D21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İmpuls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 bozuklukları </w:t>
      </w:r>
    </w:p>
    <w:p w:rsidR="00E912CF" w:rsidRPr="00E912CF" w:rsidRDefault="00EB0ABB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agonistleri</w:t>
      </w:r>
      <w:proofErr w:type="spell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ile tedavi edilen hastalarda, patolojik kumar oynama, libido artışı, </w:t>
      </w:r>
      <w:proofErr w:type="spell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harcama ya da alışveriş, aşırı yeme ve </w:t>
      </w:r>
      <w:proofErr w:type="spell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yeme ortaya çıkabilir (bkz. Bölüm 4.4).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3,090 Parkinson hastasını kapsayan, kesitsel,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retrospektif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bir tarama ve olgu-kontrol çalışmasında,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ya 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non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tedavi görmekte olan tüm hastaların %13.6’sında, son altı ay içerisinde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 bozukluğuna ilişkin semptomlar ortaya çıkmıştır. Gözlenen belirtiler arasında, patolojik kumar oynama,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alışveriş, aşırı yeme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cinsel davranışlar (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 bulunmaktaydı.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İmpuls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 bozukluklarına yönelik olası bağımsız risk faktörleri arasında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ilaçlar ve yüksek dozlarda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tedavi, daha genç yaş (≤65), evli olmama ve hastanın bildirimine göre ailede kumar davranışları öyküsü bulunmaktaydı. </w:t>
      </w:r>
    </w:p>
    <w:p w:rsidR="00A44D21" w:rsidRDefault="00A44D21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Kalp yetmezliği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Klinik çalışmalar ve pazarlama sonrası deneyimde, hastalarda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kalp yetmezliği bildirilmiştir.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farmakoepidemiyoloji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çalışmasında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kullanımı, bu ilacın kullanılmamasına kıyasla, kalp yetmezliği riskinde artış ile ilişkiliydi (gözlenen risk oranı 1.86; %95 GA, 1.21-2.85). </w:t>
      </w:r>
    </w:p>
    <w:p w:rsidR="001A2A59" w:rsidRDefault="001A2A59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A59" w:rsidRPr="00E4669B" w:rsidRDefault="001A2A59" w:rsidP="001A2A59">
      <w:pPr>
        <w:spacing w:line="360" w:lineRule="auto"/>
        <w:jc w:val="both"/>
        <w:rPr>
          <w:rFonts w:ascii="Times New Roman" w:hAnsi="Times New Roman" w:cs="Arial"/>
          <w:sz w:val="24"/>
          <w:szCs w:val="24"/>
          <w:u w:val="single"/>
        </w:rPr>
      </w:pPr>
      <w:r w:rsidRPr="00E4669B">
        <w:rPr>
          <w:rFonts w:ascii="Times New Roman" w:hAnsi="Times New Roman" w:cs="Arial"/>
          <w:sz w:val="24"/>
          <w:szCs w:val="24"/>
          <w:u w:val="single"/>
        </w:rPr>
        <w:t xml:space="preserve">Şüpheli </w:t>
      </w:r>
      <w:proofErr w:type="spellStart"/>
      <w:r w:rsidRPr="00E4669B">
        <w:rPr>
          <w:rFonts w:ascii="Times New Roman" w:hAnsi="Times New Roman" w:cs="Arial"/>
          <w:sz w:val="24"/>
          <w:szCs w:val="24"/>
          <w:u w:val="single"/>
        </w:rPr>
        <w:t>advers</w:t>
      </w:r>
      <w:proofErr w:type="spellEnd"/>
      <w:r w:rsidRPr="00E4669B">
        <w:rPr>
          <w:rFonts w:ascii="Times New Roman" w:hAnsi="Times New Roman" w:cs="Arial"/>
          <w:sz w:val="24"/>
          <w:szCs w:val="24"/>
          <w:u w:val="single"/>
        </w:rPr>
        <w:t xml:space="preserve"> reaksiyonların raporlanması</w:t>
      </w:r>
    </w:p>
    <w:p w:rsidR="001A2A59" w:rsidRPr="00E4669B" w:rsidRDefault="001A2A59" w:rsidP="001A2A59">
      <w:pPr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E4669B">
        <w:rPr>
          <w:rFonts w:ascii="Times New Roman" w:hAnsi="Times New Roman" w:cs="Arial"/>
          <w:sz w:val="24"/>
          <w:szCs w:val="24"/>
        </w:rPr>
        <w:t xml:space="preserve">Ruhsatlandırma sonrası şüpheli ilaç </w:t>
      </w:r>
      <w:proofErr w:type="spellStart"/>
      <w:r w:rsidRPr="00E4669B">
        <w:rPr>
          <w:rFonts w:ascii="Times New Roman" w:hAnsi="Times New Roman" w:cs="Arial"/>
          <w:sz w:val="24"/>
          <w:szCs w:val="24"/>
        </w:rPr>
        <w:t>advers</w:t>
      </w:r>
      <w:proofErr w:type="spellEnd"/>
      <w:r w:rsidRPr="00E4669B">
        <w:rPr>
          <w:rFonts w:ascii="Times New Roman" w:hAnsi="Times New Roman" w:cs="Arial"/>
          <w:sz w:val="24"/>
          <w:szCs w:val="24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E4669B">
        <w:rPr>
          <w:rFonts w:ascii="Times New Roman" w:hAnsi="Times New Roman" w:cs="Arial"/>
          <w:sz w:val="24"/>
          <w:szCs w:val="24"/>
        </w:rPr>
        <w:t>advers</w:t>
      </w:r>
      <w:proofErr w:type="spellEnd"/>
      <w:r w:rsidRPr="00E4669B">
        <w:rPr>
          <w:rFonts w:ascii="Times New Roman" w:hAnsi="Times New Roman" w:cs="Arial"/>
          <w:sz w:val="24"/>
          <w:szCs w:val="24"/>
        </w:rPr>
        <w:t xml:space="preserve"> reaksiyonu Türkiye </w:t>
      </w:r>
      <w:proofErr w:type="spellStart"/>
      <w:r w:rsidRPr="00E4669B">
        <w:rPr>
          <w:rFonts w:ascii="Times New Roman" w:hAnsi="Times New Roman" w:cs="Arial"/>
          <w:sz w:val="24"/>
          <w:szCs w:val="24"/>
        </w:rPr>
        <w:t>Farmakovijilans</w:t>
      </w:r>
      <w:proofErr w:type="spellEnd"/>
      <w:r w:rsidRPr="00E4669B">
        <w:rPr>
          <w:rFonts w:ascii="Times New Roman" w:hAnsi="Times New Roman" w:cs="Arial"/>
          <w:sz w:val="24"/>
          <w:szCs w:val="24"/>
        </w:rPr>
        <w:t xml:space="preserve"> Merkezi (TÜFAM)'ne bildirmeleri gerekmektedir. (www.</w:t>
      </w:r>
      <w:proofErr w:type="spellStart"/>
      <w:r w:rsidRPr="00E4669B">
        <w:rPr>
          <w:rFonts w:ascii="Times New Roman" w:hAnsi="Times New Roman" w:cs="Arial"/>
          <w:sz w:val="24"/>
          <w:szCs w:val="24"/>
        </w:rPr>
        <w:t>titck</w:t>
      </w:r>
      <w:proofErr w:type="spellEnd"/>
      <w:r w:rsidRPr="00E4669B">
        <w:rPr>
          <w:rFonts w:ascii="Times New Roman" w:hAnsi="Times New Roman" w:cs="Arial"/>
          <w:sz w:val="24"/>
          <w:szCs w:val="24"/>
        </w:rPr>
        <w:t xml:space="preserve">.gov.tr;                e-posta: </w:t>
      </w:r>
      <w:proofErr w:type="spellStart"/>
      <w:r w:rsidRPr="00E4669B">
        <w:rPr>
          <w:rFonts w:ascii="Times New Roman" w:hAnsi="Times New Roman" w:cs="Arial"/>
          <w:sz w:val="24"/>
          <w:szCs w:val="24"/>
        </w:rPr>
        <w:t>tufam</w:t>
      </w:r>
      <w:proofErr w:type="spellEnd"/>
      <w:r w:rsidRPr="00E4669B">
        <w:rPr>
          <w:rFonts w:ascii="Times New Roman" w:hAnsi="Times New Roman" w:cs="Arial"/>
          <w:sz w:val="24"/>
          <w:szCs w:val="24"/>
        </w:rPr>
        <w:t>@</w:t>
      </w:r>
      <w:proofErr w:type="spellStart"/>
      <w:r w:rsidRPr="00E4669B">
        <w:rPr>
          <w:rFonts w:ascii="Times New Roman" w:hAnsi="Times New Roman" w:cs="Arial"/>
          <w:sz w:val="24"/>
          <w:szCs w:val="24"/>
        </w:rPr>
        <w:t>titck</w:t>
      </w:r>
      <w:proofErr w:type="spellEnd"/>
      <w:r w:rsidRPr="00E4669B">
        <w:rPr>
          <w:rFonts w:ascii="Times New Roman" w:hAnsi="Times New Roman" w:cs="Arial"/>
          <w:sz w:val="24"/>
          <w:szCs w:val="24"/>
        </w:rPr>
        <w:t>.gov.tr; tel: 0 800 314 00 08; faks: 0 312 218 35 99)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A59" w:rsidRDefault="001A2A59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A59" w:rsidRDefault="001A2A59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A59" w:rsidRDefault="001A2A59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4.9 Doz aşımı ve tedavisi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Klinikte masif bir doz aşımı deneyimi bulunmamaktadır. Beklenen istenmeyen olaylar, bulantı, kusma,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hiperkinezi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ajitasyon ve hipotansiyon gibi,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agonistinin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farmakodinamik profili ile ilişkili reaksiyonlar olacaktır.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agonisti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doz aşımı için belirlenmiş antidot bulunmamaktadır. Eğer santral sinir sistemi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stimülasyonu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bulguları var ise,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nöroleptik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ajan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endike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olabilir. Doz aşımı tedavisinde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gastrik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lavaj,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intravenöz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sıvılar, aktif tıbbi kömür uygulaması ve elektrokardiyografik izlemenin yanı sıra, genel destekleyici önlemler gerekli olabilir.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5. FARMAKOLOJİK ÖZELLİKLER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5.1 Farmakodinamik özellikler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Farmakoterapötik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grup: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Anti-Parkinson ilaçlar,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agonistleri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>ATC kodu: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N04BC05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Etki mekanizması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agonisti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olan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D2 ailesi reseptörlerine yüksek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selektivite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spesifite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bağlanır; bunlar arasında D3 reseptörlerine karşı tercihli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afinite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gösterir ve tam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intrinsik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aktiviteye sahiptir.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striatumda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bulunan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reseptörlerinin uyarılması yoluyla,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parkinsondaki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motor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defisitleri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hafifletir. Hayvan çalışmalarında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sentezi, serbestlenmesi ve çevrim hızını (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turnover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ettiği gösterilmiştir.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huzursuz bacak sendromu tedavisindeki etki mekanizması bilinmemektedir.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Nörofarmakolojik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veriler,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primer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olarak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sistemle etkileşimi düşündürmektedir. </w:t>
      </w:r>
    </w:p>
    <w:p w:rsidR="00E912CF" w:rsidRPr="00A44D21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Farmakodinamik etkiler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Gönüllüler üzerinde yapılan çalışmalarda,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prolaktinde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doza bağlı bir azalma gözlenmiştir. </w:t>
      </w:r>
    </w:p>
    <w:p w:rsidR="00E912CF" w:rsidRPr="00E912CF" w:rsidRDefault="00F5252A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252A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="00EB0ABB" w:rsidRPr="00F52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2CF" w:rsidRPr="00F5252A">
        <w:rPr>
          <w:rFonts w:ascii="Times New Roman" w:eastAsia="Calibri" w:hAnsi="Times New Roman" w:cs="Times New Roman"/>
          <w:sz w:val="24"/>
          <w:szCs w:val="24"/>
        </w:rPr>
        <w:t xml:space="preserve">uzatılmış </w:t>
      </w:r>
      <w:proofErr w:type="spellStart"/>
      <w:r w:rsidR="00E912CF" w:rsidRPr="00F5252A">
        <w:rPr>
          <w:rFonts w:ascii="Times New Roman" w:eastAsia="Calibri" w:hAnsi="Times New Roman" w:cs="Times New Roman"/>
          <w:sz w:val="24"/>
          <w:szCs w:val="24"/>
        </w:rPr>
        <w:t>salımlı</w:t>
      </w:r>
      <w:proofErr w:type="spellEnd"/>
      <w:r w:rsidR="00E912CF" w:rsidRPr="00F5252A">
        <w:rPr>
          <w:rFonts w:ascii="Times New Roman" w:eastAsia="Calibri" w:hAnsi="Times New Roman" w:cs="Times New Roman"/>
          <w:sz w:val="24"/>
          <w:szCs w:val="24"/>
        </w:rPr>
        <w:t xml:space="preserve"> tablet </w:t>
      </w:r>
      <w:proofErr w:type="spellStart"/>
      <w:r w:rsidR="00E912CF" w:rsidRPr="00F5252A">
        <w:rPr>
          <w:rFonts w:ascii="Times New Roman" w:eastAsia="Calibri" w:hAnsi="Times New Roman" w:cs="Times New Roman"/>
          <w:sz w:val="24"/>
          <w:szCs w:val="24"/>
        </w:rPr>
        <w:t>formülasyonunun</w:t>
      </w:r>
      <w:proofErr w:type="spellEnd"/>
      <w:r w:rsidR="00E912CF" w:rsidRPr="00F5252A">
        <w:rPr>
          <w:rFonts w:ascii="Times New Roman" w:eastAsia="Calibri" w:hAnsi="Times New Roman" w:cs="Times New Roman"/>
          <w:sz w:val="24"/>
          <w:szCs w:val="24"/>
        </w:rPr>
        <w:t xml:space="preserve">, günde 4.5 mg </w:t>
      </w:r>
      <w:proofErr w:type="spellStart"/>
      <w:r w:rsidR="00E912CF" w:rsidRPr="00F5252A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="00E912CF" w:rsidRPr="00F5252A">
        <w:rPr>
          <w:rFonts w:ascii="Times New Roman" w:eastAsia="Calibri" w:hAnsi="Times New Roman" w:cs="Times New Roman"/>
          <w:sz w:val="24"/>
          <w:szCs w:val="24"/>
        </w:rPr>
        <w:t xml:space="preserve"> tuza kadar (3.15 mg </w:t>
      </w:r>
      <w:proofErr w:type="gramStart"/>
      <w:r w:rsidR="00E912CF" w:rsidRPr="00F5252A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="00E912CF" w:rsidRPr="00F5252A">
        <w:rPr>
          <w:rFonts w:ascii="Times New Roman" w:eastAsia="Calibri" w:hAnsi="Times New Roman" w:cs="Times New Roman"/>
          <w:sz w:val="24"/>
          <w:szCs w:val="24"/>
        </w:rPr>
        <w:t>), önerilenden daha hızlı titre edildiği (her 3 günde bir), sağlıklı gönüllüler üzerinde yürütülen bir klinik araştırmada, kan basıncı ve kalp hızında artış gözlenmiştir.</w:t>
      </w:r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Böyle bir etki, hastalar üzerinde yapılan çalışmalarda gözlenmemiştir.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Parkinson hastalığında klinik etkinlik ve güvenlilik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hastalarda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idiyopatik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Parkinson hastalığının bulgu ve semptomlarını hafifletir.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kontrollü klinik araştırmalarda yaklaşık 1,800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Hoehn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Yahr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evre I-V hasta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tedavi edilmiştir. Bu hastaların yaklaşık 1,000 kadarı daha ileri evrelerdeydi, eşzamanlı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tedavisi almaktaydı ve motor komplikasyonlar gelişmişti.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Parkinson hastalığının erken ve ileri dönemlerinde yürütülen kontrollü klinik araştırmalarda,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etkinliği yaklaşık altı ay süreyle kalıcı olmuştur. Üç yıldan daha uzun süren açık tasarımlı idame çalışmalarında, etkinliğin azalmasına ilişkin veri bulunmamaktadır.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İki yıl süreli, kontrollü, çift-kör bir klinik araştırmada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başlangıç tedavisi,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başlangıç tedavisine kıyasla, motor komplikasyonların ortaya çıkışını anlamlı olarak geciktirmiş ve oluşumlarını azaltmıştır.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motor komplikasyonlardaki bu gecikme,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motor fonksiyonlarda görülen daha büyük düzelme (UPDRS skorundaki ortalama değişim ile ölçüldüğü üzere) ile karşılıklı değerlendirilmelidir.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somnolansın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bütünsel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insidansı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grubunda doz artırım fazında genel olarak daha yüksekti; ancak idame döneminde anlamlı bir farklılık bulunmamaktaydı. Parkinson hastalarında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tedavisi başlatılırken bu noktalar dikkate alınmalıdır.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popülasyon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Avrupa İlaç Ajansı, Parkinson hastalığı için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popülasyonun tüm alt-gruplarında </w:t>
      </w:r>
      <w:proofErr w:type="spellStart"/>
      <w:r w:rsidR="00EB0ABB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yapılan çalışma sonuçlarının sunulması zorunluluğunu kaldırmıştır (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kullanıma ilişkin bilgiler için bkz. Bölüm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Huzursuz bacak sendromunda klinik etkinlik ve güvenlilik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etkinliği,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kontrollü dört araştırma kapsamında, orta dereceli ile çok şiddetli huzursuz bacak sendromu olan yaklaşık 1,000 hasta üzerinde değerlendirilmiştir.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Huzursuz Bacak Sendromu Derecelendirme Skalası (IRLS) ve Global Klinik Düzelme İzlenimi (CGI-I)’da başlangıca göre ortalama değişim, birincil etkinlik sonlanım ölçümleriydi. Her iki birincil sonlanım noktasında da, 0.25 mg,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0.5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mg ve 0.75 mg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tuz dozlarından oluşan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doz gruplarında,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plaseboya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kıyasla istatistiksel olarak anlamlı farklılıklar gözlendi. On iki haftalık tedaviden sonra, başlangıç dönemindeki IRLS skoru,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23.5’ten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14.1 puana,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(dozlar kombine edilmiş) 23.4’ten 9.4’e düzelme gösterdi. Uyarlanmış ortalama farklılık -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4.3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puan oldu (%95 GA: -6.4 - -2.1 puan, p değeri &lt; 0.0001). CGI-I yanıt verici hasta oranları (düzelme fazla, düzelme çok fazla),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için, sırasıyla %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51.2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%72.0 oldu (%20 farklılık, %95 GA: %8.1 - %31.8, p &lt; 0.0005). Etkinlik, tedavinin ilk haftasından sonra, günde 0.125 mg tuz (0.088 mg baz) ile gözlendi.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Üç hafta süreli,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kontrollü b</w:t>
      </w:r>
      <w:r w:rsidR="00EB0ABB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proofErr w:type="spellStart"/>
      <w:r w:rsidR="00EB0ABB">
        <w:rPr>
          <w:rFonts w:ascii="Times New Roman" w:eastAsia="Calibri" w:hAnsi="Times New Roman" w:cs="Times New Roman"/>
          <w:sz w:val="24"/>
          <w:szCs w:val="24"/>
        </w:rPr>
        <w:t>polisomnografi</w:t>
      </w:r>
      <w:proofErr w:type="spellEnd"/>
      <w:r w:rsidR="00EB0ABB">
        <w:rPr>
          <w:rFonts w:ascii="Times New Roman" w:eastAsia="Calibri" w:hAnsi="Times New Roman" w:cs="Times New Roman"/>
          <w:sz w:val="24"/>
          <w:szCs w:val="24"/>
        </w:rPr>
        <w:t xml:space="preserve"> çalışmasında </w:t>
      </w:r>
      <w:proofErr w:type="spellStart"/>
      <w:r w:rsidR="00EB0ABB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yatakta geçirilen süre içindeki periyodik bacak hareketlerinin sayısını anlamlı şekilde azaltmıştır.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Uzun dönemli etkinlik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kontrollü bir klinik araştırmada değerlendirilmiştir. Yirmi altı haftalık tedaviden sonra IRLS total skorunda,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gruplarında, sırasıyla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lastRenderedPageBreak/>
        <w:t>13.7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11.1 puanlık uyarlanmış ortalama azalma vardı. Bu değerler, -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2.6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düzeyinde istatistiksel olarak anlamlı bir ortalama tedavi farklılığına karşılık gelmektedir (p = 0.008). CGI-I yanıt verici hasta oranları (düzelme fazla, düzelme çok fazla),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grupları için, sırasıyla %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50.3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(80/159) ve %68.5 (111/162) oldu (p = 0.001). Bu değerler 6 hastalık bir tedavi edilmesi gereken sayıya (NNT) karşılık gelmektedir (%95 GA: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3.5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- 13.4).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popülasyon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Avrupa İlaç Ajansı, huzursuz bacak sendromu için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popülasyonun bir ya da daha fazla alt-grubunda </w:t>
      </w:r>
      <w:r w:rsidR="00EB0ABB">
        <w:rPr>
          <w:rFonts w:ascii="Times New Roman" w:eastAsia="Calibri" w:hAnsi="Times New Roman" w:cs="Times New Roman"/>
          <w:sz w:val="24"/>
          <w:szCs w:val="24"/>
        </w:rPr>
        <w:t>pramipeksol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yapılan çalışma sonuçlarının sunulması zorunluluğunu ertelemiştir (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kullanıma ilişkin bilgiler için bkz. Bölüm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Tourette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hastalığında klinik etkinlik ve güvenlilik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Tourette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hastalığı olan 6-17 yaş arasındaki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hastalarda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etkinliği (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0.0625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-0.5 mg/gün), 6 hafta süreli, çift-kör,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randomize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kontrollü, esnek dozlu bir çalışmada değerlendirilmiştir. Toplam 63 hasta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randomize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edildi (43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20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plaseboya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>). Birincil sonlanım noktası, Yale Global Tik Şiddeti Skalası (YGTSS)’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nin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Total Tik Skoru (TTS)’de başlangıç dönemine göre değişim idi.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plaseboya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kıyasla, ne birincil sonlanım noktası için ne de ikincil etkinlik sonlanım noktalarının herhangi biri için (YGTSS total skoru, Hastanın Global Düzelme İzlenimi (PGI-I), Global Klinik Düzelme İzlenimi (CGI-I) ve Global Klinik Hastalık Şiddeti İzlenimi (CGI-S)) farklılık gözlenmedi.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grubundaki hastaların en az %5’inde ortaya çıkan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tedavi edilen hastalarda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alanlara göre daha sık gözlenen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olaylar şunlardı; baş ağrısı (%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27.9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%25.0),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(%7.0,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%5.0), bulantı (%18.6,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%10.0), kusma (%11.6,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%0.0), üst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abdominal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ağrı (%7.0,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%5.0),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ortostatik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hipotansiyon (%9.3,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%5.0),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miyalji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(%9.3,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%5.0), uyku bozukluğu (%7.0,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%0.0),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dispne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(%7.0,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%0.0), ve üst solunum yolu enfeksiyonu (%7.0,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%5.0).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almakta olan hastalarda çalışma ilacının kesilmesiyle sonuçlanan diğer önemli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olaylar,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konfüzyonal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durum, konuşma bozukluğu ve klinik tablonun ağırlaşması olmuştu (bkz. Bölüm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5.2 </w:t>
      </w: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Farmakokinetik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özellikler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12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Emilim: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oral uygulama sonrasında hızla ve tamamen emilir. Mutlak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biyoyararlanım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%90'dan büyüktür ve maksimum plazma konsantrasyonlarına 1 ile 3 saat arasında ulaşılır. Besinlerle birlikte uygulama emilim miktarını azaltmaz, ancak emilim hızını azaltır.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lineer kinetik gösterir ve plazma düzeylerinde hastalar arası varyasyon düşüktür. </w:t>
      </w:r>
    </w:p>
    <w:p w:rsidR="00E912CF" w:rsidRPr="00EB0ABB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AB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Dağılım: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İnsanlarda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proteinlere bağlanması çok düşük (&lt; %20) ve dağılım hacmi yüksektir (400 L). Sıçanlarda beyin dokusunda yüksek konsantrasyonlar gözlenmiştir (plazmaya kıyasla yaklaşık 8 kat). </w:t>
      </w:r>
    </w:p>
    <w:p w:rsidR="00E912CF" w:rsidRPr="00EB0ABB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EB0ABB">
        <w:rPr>
          <w:rFonts w:ascii="Times New Roman" w:eastAsia="Calibri" w:hAnsi="Times New Roman" w:cs="Times New Roman"/>
          <w:sz w:val="24"/>
          <w:szCs w:val="24"/>
          <w:u w:val="single"/>
        </w:rPr>
        <w:t>Biyotransformasyon</w:t>
      </w:r>
      <w:proofErr w:type="spellEnd"/>
      <w:r w:rsidRPr="00EB0A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insanlarda sadece küçük bir oranda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metabolize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olmaktadır. </w:t>
      </w:r>
    </w:p>
    <w:p w:rsidR="00E912CF" w:rsidRPr="00EB0ABB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A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Eliminasyon: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değişmemiş halde böbrek yolundan atılması, majör eliminasyon yoludur. 14C ile işaretli bir dozun yaklaşık %90'ı böbrekler ile atılırken,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feçeste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%2'den az bulunur.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total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500 mL/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civarında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renal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ise 400 mL/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civarındadır. Eliminasyon yarı ömrü (t½), gençlerdeki 8 saatten, yaşlılarda 12 saate kadar değişmektedir. </w:t>
      </w:r>
    </w:p>
    <w:p w:rsidR="00E912CF" w:rsidRPr="00EB0ABB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A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Doğrusallık/Doğrusal olmayan durum: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doğrusal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farmakokinetik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profil gösterir. </w:t>
      </w:r>
    </w:p>
    <w:p w:rsidR="00A44D21" w:rsidRDefault="00A44D21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2CF" w:rsidRPr="00EB0ABB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ABB">
        <w:rPr>
          <w:rFonts w:ascii="Times New Roman" w:eastAsia="Calibri" w:hAnsi="Times New Roman" w:cs="Times New Roman"/>
          <w:b/>
          <w:sz w:val="24"/>
          <w:szCs w:val="24"/>
        </w:rPr>
        <w:t xml:space="preserve">Hastalardaki karakteristik özellikler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Yaş: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popülasyon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çocuklar ve 18 yaşına kadar ergenlerdeki etkinliği ve güvenliliği belirlenmemiştir.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Geriyatrik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popülasyon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yaşlılarda daha uzun bir eliminasyon yarı ömrüne sahiptir.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Böbrek yetmezliği: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eliminasyonu böbrek fonksiyonlarına bağımlıdır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klerensiyle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sıkı bir şekilde ilişkilidir.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Böbrek yetmezliği olan hastalarda yürütülen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farmakokinetik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çalışma temelinde,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50 mL/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üzerinde olan Parkinson hastalarında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20 mL/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üzerinde olan huzursuz bacak sendromu hastalarında günlük dozun azaltılması gerekli değildir (ayrıntılı bilgi için bkz. Bölüm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Karaciğer yetmezliği: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Karaciğer yetmezliğinin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farmakokinetiği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üzerindeki potansiyel etkisi incelenmemiştir. Ancak, karaciğer yetmezliği olan hastalarda doz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azaltımının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gerekli olduğu düşünülmemektedir, çünkü emilen etkin maddenin yaklaşık %90’ı böbrekler yoluyla atılmaktadır.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5.3 Klinik öncesi güvenlilik verileri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Tekrarlı doz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toksisite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çalışmalarında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esas olarak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MSS'de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dişi üreme sisteminde, muhtemelen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abartılı farmakodinamik etkisinden kaynaklanan, fonksiyonel etkiler oluşturduğu gösterilmiştir.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Mini-domuzlarda,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diyastolik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sistolik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basınçlar ve kalp hızında düşüşler kaydedilmiş; maymunlarda 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hipotansif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etkiye eğilim olduğu açığa çıkarılmıştır.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reprodüktif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fonksiyonlar üzerindeki olası etkileri sıçanlar ve tavşanlar üzerinde araştırılmıştır.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sıçanlarda ve tavşanlarda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teratojenik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değildir, ama sıçanlarda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maternotoksik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dozlarda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embriyotoksik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 göstermiştir. Hayvan türlerinin seçimi ve araştırılan parametrelerin kısıtlı olması nedeniyle,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gebelik ve erkek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fertilitesi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üzerindeki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etkileri tam olarak aydınlatılmamıştır.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>Sıçanlarda cinsel gelişmede gecikme gözlenmiştir (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prepusyumun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separasyonu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vajinanın açılması). Bu durumun insanlarla olan ilintisi bilinmemektedir. </w:t>
      </w:r>
    </w:p>
    <w:p w:rsidR="004A3A59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genotoksik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değildir.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karsinojenisite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çalışmasında, erkek sıçanlarda gelişen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Leydig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hücresi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hiperplazisi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adenomalar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prolaktini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edici etkisi ile açıklanmıştır. Bu bulgunun insanlar için klinik geçerliliği bulunmamaktadır. Bu çalışmada aynı zamanda, 2 mg/kg ve daha yüksek dozlarda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(tuz formu), albino sıçanlarda retina dejenerasyonu ile ilişkili olduğu bulunmuştur. Söz konusu bu bulgu, ne pigmente sıçanlarda, ne 2 yıllık bir albino fareler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karsinojenisite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çalışmasında, ne de araştırılan diğer türlerde gözlenmiştir.</w:t>
      </w:r>
    </w:p>
    <w:p w:rsidR="00F5252A" w:rsidRDefault="00F5252A" w:rsidP="00F525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104" w:rsidRPr="00F5252A" w:rsidRDefault="00C93104" w:rsidP="00F5252A">
      <w:pPr>
        <w:pStyle w:val="ListeParagraf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2A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F5252A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2A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B57139" w:rsidRPr="00B57139" w:rsidRDefault="00B57139" w:rsidP="00B571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139">
        <w:rPr>
          <w:rFonts w:ascii="Times New Roman" w:eastAsia="Calibri" w:hAnsi="Times New Roman" w:cs="Times New Roman"/>
          <w:sz w:val="24"/>
          <w:szCs w:val="24"/>
        </w:rPr>
        <w:t xml:space="preserve">Mısır nişastası </w:t>
      </w:r>
    </w:p>
    <w:p w:rsidR="00B57139" w:rsidRPr="00B57139" w:rsidRDefault="00B57139" w:rsidP="00B571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7139">
        <w:rPr>
          <w:rFonts w:ascii="Times New Roman" w:eastAsia="Calibri" w:hAnsi="Times New Roman" w:cs="Times New Roman"/>
          <w:sz w:val="24"/>
          <w:szCs w:val="24"/>
        </w:rPr>
        <w:t>Mannitol</w:t>
      </w:r>
      <w:proofErr w:type="spellEnd"/>
    </w:p>
    <w:p w:rsidR="00B57139" w:rsidRPr="00B57139" w:rsidRDefault="00B57139" w:rsidP="00B571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7139">
        <w:rPr>
          <w:rFonts w:ascii="Times New Roman" w:eastAsia="Calibri" w:hAnsi="Times New Roman" w:cs="Times New Roman"/>
          <w:sz w:val="24"/>
          <w:szCs w:val="24"/>
        </w:rPr>
        <w:t>Povidon</w:t>
      </w:r>
      <w:proofErr w:type="spellEnd"/>
    </w:p>
    <w:p w:rsidR="00B57139" w:rsidRPr="00B57139" w:rsidRDefault="00B57139" w:rsidP="00B571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7139">
        <w:rPr>
          <w:rFonts w:ascii="Times New Roman" w:eastAsia="Calibri" w:hAnsi="Times New Roman" w:cs="Times New Roman"/>
          <w:sz w:val="24"/>
          <w:szCs w:val="24"/>
        </w:rPr>
        <w:t>Kolloidal</w:t>
      </w:r>
      <w:proofErr w:type="spellEnd"/>
      <w:r w:rsidRPr="00B57139">
        <w:rPr>
          <w:rFonts w:ascii="Times New Roman" w:eastAsia="Calibri" w:hAnsi="Times New Roman" w:cs="Times New Roman"/>
          <w:sz w:val="24"/>
          <w:szCs w:val="24"/>
        </w:rPr>
        <w:t xml:space="preserve"> silikon dioksit</w:t>
      </w:r>
    </w:p>
    <w:p w:rsidR="00B57139" w:rsidRPr="00B57139" w:rsidRDefault="00B57139" w:rsidP="00B571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139">
        <w:rPr>
          <w:rFonts w:ascii="Times New Roman" w:eastAsia="Calibri" w:hAnsi="Times New Roman" w:cs="Times New Roman"/>
          <w:sz w:val="24"/>
          <w:szCs w:val="24"/>
        </w:rPr>
        <w:t xml:space="preserve">Magnezyum </w:t>
      </w:r>
      <w:proofErr w:type="spellStart"/>
      <w:r w:rsidRPr="00B57139">
        <w:rPr>
          <w:rFonts w:ascii="Times New Roman" w:eastAsia="Calibri" w:hAnsi="Times New Roman" w:cs="Times New Roman"/>
          <w:sz w:val="24"/>
          <w:szCs w:val="24"/>
        </w:rPr>
        <w:t>stearat</w:t>
      </w:r>
      <w:proofErr w:type="spellEnd"/>
    </w:p>
    <w:p w:rsidR="00D4634B" w:rsidRPr="00107223" w:rsidRDefault="00D4634B" w:rsidP="005D4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E59" w:rsidRPr="00F5252A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2A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>Geçerli değil.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>24 ay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25 </w:t>
      </w:r>
      <w:proofErr w:type="spellStart"/>
      <w:r w:rsidRPr="00107223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107223">
        <w:rPr>
          <w:rFonts w:ascii="Times New Roman" w:eastAsia="Calibri" w:hAnsi="Times New Roman" w:cs="Times New Roman"/>
          <w:sz w:val="24"/>
          <w:szCs w:val="24"/>
        </w:rPr>
        <w:t>C’nin</w:t>
      </w:r>
      <w:proofErr w:type="spellEnd"/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 altındaki oda sıcaklığında saklayınız.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107223" w:rsidRPr="00107223" w:rsidRDefault="00107223" w:rsidP="005D4C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30 veya 100 tablet içeren </w:t>
      </w:r>
      <w:proofErr w:type="spellStart"/>
      <w:r w:rsidRPr="00107223">
        <w:rPr>
          <w:rFonts w:ascii="Times New Roman" w:eastAsia="Calibri" w:hAnsi="Times New Roman" w:cs="Times New Roman"/>
          <w:sz w:val="24"/>
          <w:szCs w:val="24"/>
        </w:rPr>
        <w:t>blister</w:t>
      </w:r>
      <w:proofErr w:type="spellEnd"/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 ambalaj</w:t>
      </w:r>
      <w:r w:rsidR="002840A1">
        <w:rPr>
          <w:rFonts w:ascii="Times New Roman" w:eastAsia="Calibri" w:hAnsi="Times New Roman" w:cs="Times New Roman"/>
          <w:sz w:val="24"/>
          <w:szCs w:val="24"/>
        </w:rPr>
        <w:t>lar</w:t>
      </w:r>
      <w:r w:rsidR="00590C69">
        <w:rPr>
          <w:rFonts w:ascii="Times New Roman" w:eastAsia="Calibri" w:hAnsi="Times New Roman" w:cs="Times New Roman"/>
          <w:sz w:val="24"/>
          <w:szCs w:val="24"/>
        </w:rPr>
        <w:t>da</w:t>
      </w:r>
      <w:r w:rsidRPr="001072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D4634B" w:rsidRPr="00D4634B" w:rsidRDefault="00D4634B" w:rsidP="00D46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4B">
        <w:rPr>
          <w:rFonts w:ascii="Times New Roman" w:hAnsi="Times New Roman" w:cs="Times New Roman"/>
          <w:sz w:val="24"/>
          <w:szCs w:val="24"/>
        </w:rPr>
        <w:t>Özel bir gereklilik yoktur.</w:t>
      </w:r>
    </w:p>
    <w:p w:rsidR="00D4634B" w:rsidRPr="00D4634B" w:rsidRDefault="00D4634B" w:rsidP="00D46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4B">
        <w:rPr>
          <w:rFonts w:ascii="Times New Roman" w:hAnsi="Times New Roman" w:cs="Times New Roman"/>
          <w:sz w:val="24"/>
          <w:szCs w:val="24"/>
        </w:rPr>
        <w:t>Kullanılmamış olan ürün ya da atık materyaller, “Tıbbi Atık</w:t>
      </w:r>
      <w:r>
        <w:rPr>
          <w:rFonts w:ascii="Times New Roman" w:hAnsi="Times New Roman" w:cs="Times New Roman"/>
          <w:sz w:val="24"/>
          <w:szCs w:val="24"/>
        </w:rPr>
        <w:t xml:space="preserve">ların Kontrolü” ve “Ambalaj ve </w:t>
      </w:r>
      <w:r w:rsidRPr="00D4634B">
        <w:rPr>
          <w:rFonts w:ascii="Times New Roman" w:hAnsi="Times New Roman" w:cs="Times New Roman"/>
          <w:sz w:val="24"/>
          <w:szCs w:val="24"/>
        </w:rPr>
        <w:t>Ambalaj Atıklarının Kontrolü” yönetmeliklerine uygun olarak imha edilmelidir.</w:t>
      </w:r>
    </w:p>
    <w:p w:rsidR="00616E59" w:rsidRDefault="00D4634B" w:rsidP="00D46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4B">
        <w:rPr>
          <w:rFonts w:ascii="Times New Roman" w:hAnsi="Times New Roman" w:cs="Times New Roman"/>
          <w:sz w:val="24"/>
          <w:szCs w:val="24"/>
        </w:rPr>
        <w:t xml:space="preserve">Madde </w:t>
      </w:r>
      <w:proofErr w:type="gramStart"/>
      <w:r w:rsidRPr="00D4634B">
        <w:rPr>
          <w:rFonts w:ascii="Times New Roman" w:hAnsi="Times New Roman" w:cs="Times New Roman"/>
          <w:sz w:val="24"/>
          <w:szCs w:val="24"/>
        </w:rPr>
        <w:t>4.2’ye</w:t>
      </w:r>
      <w:proofErr w:type="gramEnd"/>
      <w:r w:rsidRPr="00D4634B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D4634B" w:rsidRPr="00616E59" w:rsidRDefault="00D4634B" w:rsidP="00D46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F5252A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107223" w:rsidRPr="00107223" w:rsidRDefault="00682060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DEVA HOLDİNG </w:t>
      </w:r>
      <w:r w:rsidR="00107223" w:rsidRPr="00107223">
        <w:rPr>
          <w:rFonts w:ascii="Times New Roman" w:eastAsia="Calibri" w:hAnsi="Times New Roman" w:cs="Times New Roman"/>
          <w:sz w:val="24"/>
          <w:szCs w:val="24"/>
        </w:rPr>
        <w:t xml:space="preserve">A.Ş. 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>Halkalı Merkez Mah</w:t>
      </w:r>
      <w:r w:rsidR="00C71BE8">
        <w:rPr>
          <w:rFonts w:ascii="Times New Roman" w:eastAsia="Calibri" w:hAnsi="Times New Roman" w:cs="Times New Roman"/>
          <w:sz w:val="24"/>
          <w:szCs w:val="24"/>
        </w:rPr>
        <w:t>.</w:t>
      </w:r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Basın Ekspres Cad.  No:1 </w:t>
      </w:r>
    </w:p>
    <w:p w:rsidR="00107223" w:rsidRPr="00107223" w:rsidRDefault="00C71BE8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34303 Küçükçekmece</w:t>
      </w:r>
      <w:r w:rsidR="00107223" w:rsidRPr="00107223">
        <w:rPr>
          <w:rFonts w:ascii="Times New Roman" w:eastAsia="Calibri" w:hAnsi="Times New Roman" w:cs="Times New Roman"/>
          <w:sz w:val="24"/>
          <w:szCs w:val="24"/>
        </w:rPr>
        <w:t xml:space="preserve">/İSTANBUL 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F5252A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107223" w:rsidRPr="00107223" w:rsidRDefault="00B57139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230/4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F5252A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>İlk ruhsat tarihi: 14.03.2011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>Ruhsat yenileme tarihi: -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F5252A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793A9F" w:rsidRPr="00D50FD5" w:rsidRDefault="00D50FD5" w:rsidP="00D50F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FD5">
        <w:rPr>
          <w:rFonts w:ascii="Times New Roman" w:eastAsia="Calibri" w:hAnsi="Times New Roman" w:cs="Times New Roman"/>
          <w:sz w:val="24"/>
          <w:szCs w:val="24"/>
        </w:rPr>
        <w:t>07.05.2014</w:t>
      </w:r>
    </w:p>
    <w:sectPr w:rsidR="00793A9F" w:rsidRPr="00D50FD5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C9" w:rsidRDefault="00C363C9" w:rsidP="00F33D2C">
      <w:pPr>
        <w:spacing w:after="0" w:line="240" w:lineRule="auto"/>
      </w:pPr>
      <w:r>
        <w:separator/>
      </w:r>
    </w:p>
  </w:endnote>
  <w:endnote w:type="continuationSeparator" w:id="0">
    <w:p w:rsidR="00C363C9" w:rsidRDefault="00C363C9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32270F" w:rsidRPr="00F33D2C" w:rsidRDefault="00E277D5">
            <w:pPr>
              <w:pStyle w:val="Altbilgi"/>
              <w:jc w:val="right"/>
            </w:pPr>
            <w:fldSimple w:instr="PAGE">
              <w:r w:rsidR="00D50FD5">
                <w:rPr>
                  <w:noProof/>
                </w:rPr>
                <w:t>19</w:t>
              </w:r>
            </w:fldSimple>
            <w:r w:rsidR="0032270F" w:rsidRPr="00F33D2C">
              <w:t xml:space="preserve"> / </w:t>
            </w:r>
            <w:fldSimple w:instr="NUMPAGES">
              <w:r w:rsidR="00D50FD5">
                <w:rPr>
                  <w:noProof/>
                </w:rPr>
                <w:t>19</w:t>
              </w:r>
            </w:fldSimple>
          </w:p>
        </w:sdtContent>
      </w:sdt>
    </w:sdtContent>
  </w:sdt>
  <w:p w:rsidR="0032270F" w:rsidRDefault="003227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C9" w:rsidRDefault="00C363C9" w:rsidP="00F33D2C">
      <w:pPr>
        <w:spacing w:after="0" w:line="240" w:lineRule="auto"/>
      </w:pPr>
      <w:r>
        <w:separator/>
      </w:r>
    </w:p>
  </w:footnote>
  <w:footnote w:type="continuationSeparator" w:id="0">
    <w:p w:rsidR="00C363C9" w:rsidRDefault="00C363C9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D3C"/>
    <w:multiLevelType w:val="hybridMultilevel"/>
    <w:tmpl w:val="CCA21AEA"/>
    <w:lvl w:ilvl="0" w:tplc="11D6C4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34F9B"/>
    <w:multiLevelType w:val="multilevel"/>
    <w:tmpl w:val="D5720D4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BED12D6"/>
    <w:multiLevelType w:val="hybridMultilevel"/>
    <w:tmpl w:val="6A26BA02"/>
    <w:lvl w:ilvl="0" w:tplc="A9B87C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A5B4653"/>
    <w:multiLevelType w:val="hybridMultilevel"/>
    <w:tmpl w:val="2B22206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203D5"/>
    <w:rsid w:val="00027F14"/>
    <w:rsid w:val="00043C1F"/>
    <w:rsid w:val="00047245"/>
    <w:rsid w:val="000B20F8"/>
    <w:rsid w:val="000E2097"/>
    <w:rsid w:val="00107223"/>
    <w:rsid w:val="001A2337"/>
    <w:rsid w:val="001A2A59"/>
    <w:rsid w:val="001A704D"/>
    <w:rsid w:val="001E5973"/>
    <w:rsid w:val="0025528A"/>
    <w:rsid w:val="002627F1"/>
    <w:rsid w:val="002756AF"/>
    <w:rsid w:val="002840A1"/>
    <w:rsid w:val="002B514D"/>
    <w:rsid w:val="002D3C87"/>
    <w:rsid w:val="002F4A18"/>
    <w:rsid w:val="0032270F"/>
    <w:rsid w:val="003C70CD"/>
    <w:rsid w:val="003F0A4D"/>
    <w:rsid w:val="003F762C"/>
    <w:rsid w:val="004215E1"/>
    <w:rsid w:val="004765B1"/>
    <w:rsid w:val="004A3A59"/>
    <w:rsid w:val="004B185B"/>
    <w:rsid w:val="004F40FD"/>
    <w:rsid w:val="0058246B"/>
    <w:rsid w:val="00590C69"/>
    <w:rsid w:val="005D4C9B"/>
    <w:rsid w:val="005F1353"/>
    <w:rsid w:val="00616E59"/>
    <w:rsid w:val="00635E11"/>
    <w:rsid w:val="00643050"/>
    <w:rsid w:val="00682060"/>
    <w:rsid w:val="00694E71"/>
    <w:rsid w:val="006A3880"/>
    <w:rsid w:val="006C4C0C"/>
    <w:rsid w:val="006D4715"/>
    <w:rsid w:val="00737A44"/>
    <w:rsid w:val="007631E6"/>
    <w:rsid w:val="00793A9F"/>
    <w:rsid w:val="007A0869"/>
    <w:rsid w:val="007A619B"/>
    <w:rsid w:val="007B2816"/>
    <w:rsid w:val="007B528E"/>
    <w:rsid w:val="007D3192"/>
    <w:rsid w:val="007E0888"/>
    <w:rsid w:val="007E47F5"/>
    <w:rsid w:val="007E60D1"/>
    <w:rsid w:val="007F7907"/>
    <w:rsid w:val="00822066"/>
    <w:rsid w:val="008319C9"/>
    <w:rsid w:val="00844C8C"/>
    <w:rsid w:val="008656F0"/>
    <w:rsid w:val="0087255C"/>
    <w:rsid w:val="00881293"/>
    <w:rsid w:val="008C3C57"/>
    <w:rsid w:val="008E2EBB"/>
    <w:rsid w:val="00910CFB"/>
    <w:rsid w:val="00936851"/>
    <w:rsid w:val="009541EA"/>
    <w:rsid w:val="00960FD4"/>
    <w:rsid w:val="009A6225"/>
    <w:rsid w:val="00A36C59"/>
    <w:rsid w:val="00A44D21"/>
    <w:rsid w:val="00A45B0D"/>
    <w:rsid w:val="00AA3450"/>
    <w:rsid w:val="00AA34D5"/>
    <w:rsid w:val="00AB2092"/>
    <w:rsid w:val="00B51AF0"/>
    <w:rsid w:val="00B55851"/>
    <w:rsid w:val="00B57139"/>
    <w:rsid w:val="00BA11A4"/>
    <w:rsid w:val="00BB75C1"/>
    <w:rsid w:val="00BC1EFF"/>
    <w:rsid w:val="00BC436B"/>
    <w:rsid w:val="00BD708E"/>
    <w:rsid w:val="00BE487C"/>
    <w:rsid w:val="00BE6FEB"/>
    <w:rsid w:val="00C01F5B"/>
    <w:rsid w:val="00C14334"/>
    <w:rsid w:val="00C166FC"/>
    <w:rsid w:val="00C27BBE"/>
    <w:rsid w:val="00C363C9"/>
    <w:rsid w:val="00C516C5"/>
    <w:rsid w:val="00C71BE8"/>
    <w:rsid w:val="00C8108A"/>
    <w:rsid w:val="00C82FC3"/>
    <w:rsid w:val="00C93104"/>
    <w:rsid w:val="00CC417A"/>
    <w:rsid w:val="00D02E6A"/>
    <w:rsid w:val="00D25633"/>
    <w:rsid w:val="00D4634B"/>
    <w:rsid w:val="00D50FD5"/>
    <w:rsid w:val="00D66E84"/>
    <w:rsid w:val="00DB1634"/>
    <w:rsid w:val="00DC3CD1"/>
    <w:rsid w:val="00E277D5"/>
    <w:rsid w:val="00E4669B"/>
    <w:rsid w:val="00E53756"/>
    <w:rsid w:val="00E54C0A"/>
    <w:rsid w:val="00E82305"/>
    <w:rsid w:val="00E912CF"/>
    <w:rsid w:val="00EB007B"/>
    <w:rsid w:val="00EB0ABB"/>
    <w:rsid w:val="00ED220F"/>
    <w:rsid w:val="00ED46E6"/>
    <w:rsid w:val="00F33D2C"/>
    <w:rsid w:val="00F5252A"/>
    <w:rsid w:val="00FA55F9"/>
    <w:rsid w:val="00FC3D24"/>
    <w:rsid w:val="00FE10A8"/>
    <w:rsid w:val="00FE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table" w:styleId="TabloKlavuzu">
    <w:name w:val="Table Grid"/>
    <w:basedOn w:val="NormalTablo"/>
    <w:uiPriority w:val="59"/>
    <w:rsid w:val="00BE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B141B-8E02-4010-B40E-6492EB6A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36632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fersari</cp:lastModifiedBy>
  <cp:revision>7</cp:revision>
  <cp:lastPrinted>2014-08-04T07:42:00Z</cp:lastPrinted>
  <dcterms:created xsi:type="dcterms:W3CDTF">2014-08-04T07:41:00Z</dcterms:created>
  <dcterms:modified xsi:type="dcterms:W3CDTF">2014-09-22T09:47:00Z</dcterms:modified>
</cp:coreProperties>
</file>