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C8" w:rsidRPr="003A7448" w:rsidRDefault="002D387C" w:rsidP="009A6DDC">
      <w:pPr>
        <w:shd w:val="clear" w:color="auto" w:fill="FFFFFF"/>
        <w:spacing w:line="276" w:lineRule="auto"/>
        <w:ind w:right="1"/>
        <w:jc w:val="center"/>
        <w:rPr>
          <w:rFonts w:ascii="Times New Roman" w:hAnsi="Times New Roman" w:cs="Times New Roman"/>
          <w:b/>
          <w:sz w:val="24"/>
          <w:szCs w:val="24"/>
        </w:rPr>
      </w:pPr>
      <w:r w:rsidRPr="003A7448">
        <w:rPr>
          <w:rFonts w:ascii="Times New Roman" w:hAnsi="Times New Roman" w:cs="Times New Roman"/>
          <w:b/>
          <w:sz w:val="24"/>
          <w:szCs w:val="24"/>
        </w:rPr>
        <w:t>KIS</w:t>
      </w:r>
      <w:r w:rsidR="004438FB" w:rsidRPr="003A7448">
        <w:rPr>
          <w:rFonts w:ascii="Times New Roman" w:hAnsi="Times New Roman" w:cs="Times New Roman"/>
          <w:b/>
          <w:sz w:val="24"/>
          <w:szCs w:val="24"/>
        </w:rPr>
        <w:t>A</w:t>
      </w:r>
      <w:r w:rsidRPr="003A7448">
        <w:rPr>
          <w:rFonts w:ascii="Times New Roman" w:hAnsi="Times New Roman" w:cs="Times New Roman"/>
          <w:b/>
          <w:sz w:val="24"/>
          <w:szCs w:val="24"/>
        </w:rPr>
        <w:t xml:space="preserve"> ÜRÜN</w:t>
      </w:r>
      <w:r w:rsidR="00E766C8" w:rsidRPr="003A7448">
        <w:rPr>
          <w:rFonts w:ascii="Times New Roman" w:hAnsi="Times New Roman" w:cs="Times New Roman"/>
          <w:b/>
          <w:sz w:val="24"/>
          <w:szCs w:val="24"/>
        </w:rPr>
        <w:t xml:space="preserve"> BİLGİSİ</w:t>
      </w:r>
    </w:p>
    <w:p w:rsidR="008D2197" w:rsidRPr="003A7448" w:rsidRDefault="008D2197" w:rsidP="009A6DDC">
      <w:pPr>
        <w:shd w:val="clear" w:color="auto" w:fill="FFFFFF"/>
        <w:spacing w:line="276" w:lineRule="auto"/>
        <w:ind w:right="1"/>
        <w:jc w:val="both"/>
        <w:rPr>
          <w:rFonts w:ascii="Times New Roman" w:hAnsi="Times New Roman" w:cs="Times New Roman"/>
          <w:b/>
          <w:sz w:val="24"/>
          <w:szCs w:val="24"/>
        </w:rPr>
      </w:pPr>
    </w:p>
    <w:p w:rsidR="00E766C8" w:rsidRPr="003A7448" w:rsidRDefault="0024074C"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 xml:space="preserve">1. </w:t>
      </w:r>
      <w:r w:rsidR="00E766C8" w:rsidRPr="003A7448">
        <w:rPr>
          <w:rFonts w:ascii="Times New Roman" w:hAnsi="Times New Roman" w:cs="Times New Roman"/>
          <w:b/>
          <w:sz w:val="24"/>
          <w:szCs w:val="24"/>
        </w:rPr>
        <w:t>BEŞERİ TIBBİ ÜRÜNÜN ADI</w:t>
      </w:r>
    </w:p>
    <w:p w:rsidR="00E766C8" w:rsidRPr="003A7448" w:rsidRDefault="00AF548A"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D</w:t>
      </w:r>
      <w:r w:rsidR="0003774C" w:rsidRPr="003A7448">
        <w:rPr>
          <w:rFonts w:ascii="Times New Roman" w:hAnsi="Times New Roman" w:cs="Times New Roman"/>
          <w:sz w:val="24"/>
          <w:szCs w:val="24"/>
        </w:rPr>
        <w:t>EVİT</w:t>
      </w:r>
      <w:r w:rsidR="008D2197" w:rsidRPr="003A7448">
        <w:rPr>
          <w:rFonts w:ascii="Times New Roman" w:hAnsi="Times New Roman" w:cs="Times New Roman"/>
          <w:sz w:val="24"/>
          <w:szCs w:val="24"/>
        </w:rPr>
        <w:t>-3 IM/oral a</w:t>
      </w:r>
      <w:r w:rsidRPr="003A7448">
        <w:rPr>
          <w:rFonts w:ascii="Times New Roman" w:hAnsi="Times New Roman" w:cs="Times New Roman"/>
          <w:sz w:val="24"/>
          <w:szCs w:val="24"/>
        </w:rPr>
        <w:t>mpul</w:t>
      </w:r>
    </w:p>
    <w:p w:rsidR="002D387C" w:rsidRPr="003A7448" w:rsidRDefault="002D387C" w:rsidP="009A6DDC">
      <w:pPr>
        <w:shd w:val="clear" w:color="auto" w:fill="FFFFFF"/>
        <w:spacing w:line="276" w:lineRule="auto"/>
        <w:ind w:right="1"/>
        <w:jc w:val="both"/>
        <w:rPr>
          <w:rFonts w:ascii="Times New Roman" w:hAnsi="Times New Roman" w:cs="Times New Roman"/>
          <w:sz w:val="24"/>
          <w:szCs w:val="24"/>
          <w:highlight w:val="yellow"/>
        </w:rPr>
      </w:pPr>
    </w:p>
    <w:p w:rsidR="00E766C8" w:rsidRPr="003A7448" w:rsidRDefault="0024074C"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 xml:space="preserve">2. </w:t>
      </w:r>
      <w:r w:rsidR="00E766C8" w:rsidRPr="003A7448">
        <w:rPr>
          <w:rFonts w:ascii="Times New Roman" w:hAnsi="Times New Roman" w:cs="Times New Roman"/>
          <w:b/>
          <w:sz w:val="24"/>
          <w:szCs w:val="24"/>
        </w:rPr>
        <w:t>KALİTATİF VE KANTİTATİF BİLEŞİM</w:t>
      </w: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Etkin madde</w:t>
      </w:r>
    </w:p>
    <w:p w:rsidR="00E766C8" w:rsidRPr="003A7448" w:rsidRDefault="004D5C20"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 xml:space="preserve">Her 1 ml’ lik ampulde: 7.5 mg (300.000 </w:t>
      </w:r>
      <w:r w:rsidR="00A30349" w:rsidRPr="003A7448">
        <w:rPr>
          <w:rFonts w:ascii="Times New Roman" w:hAnsi="Times New Roman" w:cs="Times New Roman"/>
          <w:sz w:val="24"/>
          <w:szCs w:val="24"/>
        </w:rPr>
        <w:t>IU</w:t>
      </w:r>
      <w:r w:rsidRPr="003A7448">
        <w:rPr>
          <w:rFonts w:ascii="Times New Roman" w:hAnsi="Times New Roman" w:cs="Times New Roman"/>
          <w:sz w:val="24"/>
          <w:szCs w:val="24"/>
        </w:rPr>
        <w:t>) D</w:t>
      </w:r>
      <w:r w:rsidRPr="003A7448">
        <w:rPr>
          <w:rFonts w:ascii="Times New Roman" w:hAnsi="Times New Roman" w:cs="Times New Roman"/>
          <w:sz w:val="24"/>
          <w:szCs w:val="24"/>
          <w:vertAlign w:val="subscript"/>
        </w:rPr>
        <w:t>3</w:t>
      </w:r>
      <w:r w:rsidRPr="003A7448">
        <w:rPr>
          <w:rFonts w:ascii="Times New Roman" w:hAnsi="Times New Roman" w:cs="Times New Roman"/>
          <w:sz w:val="24"/>
          <w:szCs w:val="24"/>
        </w:rPr>
        <w:t xml:space="preserve"> vitamini</w:t>
      </w:r>
      <w:r w:rsidR="0003774C" w:rsidRPr="003A7448">
        <w:rPr>
          <w:rFonts w:ascii="Times New Roman" w:hAnsi="Times New Roman" w:cs="Times New Roman"/>
          <w:sz w:val="24"/>
          <w:szCs w:val="24"/>
        </w:rPr>
        <w:t xml:space="preserve"> içerir.</w:t>
      </w: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Yardımcı maddeler</w:t>
      </w:r>
    </w:p>
    <w:p w:rsidR="002D387C" w:rsidRPr="003A7448" w:rsidRDefault="00E766C8"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Yardımcı maddeler için, bakınız 6.1.</w:t>
      </w:r>
      <w:r w:rsidR="00C51666" w:rsidRPr="003A7448">
        <w:rPr>
          <w:rFonts w:ascii="Times New Roman" w:hAnsi="Times New Roman" w:cs="Times New Roman"/>
          <w:sz w:val="24"/>
          <w:szCs w:val="24"/>
        </w:rPr>
        <w:t xml:space="preserve"> </w:t>
      </w:r>
    </w:p>
    <w:p w:rsidR="00AF548A" w:rsidRPr="003A7448" w:rsidRDefault="00AF548A" w:rsidP="009A6DDC">
      <w:pPr>
        <w:spacing w:line="276" w:lineRule="auto"/>
        <w:ind w:right="1"/>
        <w:jc w:val="both"/>
        <w:rPr>
          <w:rFonts w:ascii="Times New Roman" w:hAnsi="Times New Roman" w:cs="Times New Roman"/>
          <w:sz w:val="24"/>
          <w:szCs w:val="24"/>
        </w:rPr>
      </w:pPr>
    </w:p>
    <w:p w:rsidR="00E766C8" w:rsidRPr="003A7448" w:rsidRDefault="0024074C"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 xml:space="preserve">3. </w:t>
      </w:r>
      <w:r w:rsidR="00E766C8" w:rsidRPr="003A7448">
        <w:rPr>
          <w:rFonts w:ascii="Times New Roman" w:hAnsi="Times New Roman" w:cs="Times New Roman"/>
          <w:b/>
          <w:sz w:val="24"/>
          <w:szCs w:val="24"/>
        </w:rPr>
        <w:t>FARMASÖTİK FORM</w:t>
      </w:r>
    </w:p>
    <w:p w:rsidR="002D387C" w:rsidRPr="003A7448" w:rsidRDefault="00AF548A"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1 ml’lik renkli ampüller</w:t>
      </w:r>
      <w:r w:rsidR="0024074C" w:rsidRPr="003A7448">
        <w:rPr>
          <w:rFonts w:ascii="Times New Roman" w:hAnsi="Times New Roman" w:cs="Times New Roman"/>
          <w:sz w:val="24"/>
          <w:szCs w:val="24"/>
        </w:rPr>
        <w:t xml:space="preserve"> </w:t>
      </w:r>
      <w:r w:rsidRPr="003A7448">
        <w:rPr>
          <w:rFonts w:ascii="Times New Roman" w:hAnsi="Times New Roman" w:cs="Times New Roman"/>
          <w:sz w:val="24"/>
          <w:szCs w:val="24"/>
        </w:rPr>
        <w:t>(Tip I) içinde, açık sarı renkli, karakteristik (yağ) kokulu, yağlı solüsyon.</w:t>
      </w:r>
    </w:p>
    <w:p w:rsidR="0024074C" w:rsidRPr="003A7448" w:rsidRDefault="0024074C" w:rsidP="009A6DDC">
      <w:pPr>
        <w:shd w:val="clear" w:color="auto" w:fill="FFFFFF"/>
        <w:spacing w:line="276" w:lineRule="auto"/>
        <w:ind w:right="1"/>
        <w:jc w:val="both"/>
        <w:rPr>
          <w:rFonts w:ascii="Times New Roman" w:hAnsi="Times New Roman" w:cs="Times New Roman"/>
          <w:sz w:val="24"/>
          <w:szCs w:val="24"/>
        </w:rPr>
      </w:pPr>
    </w:p>
    <w:p w:rsidR="00E766C8" w:rsidRPr="003A7448" w:rsidRDefault="0024074C"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 xml:space="preserve">4. </w:t>
      </w:r>
      <w:r w:rsidR="00E766C8" w:rsidRPr="003A7448">
        <w:rPr>
          <w:rFonts w:ascii="Times New Roman" w:hAnsi="Times New Roman" w:cs="Times New Roman"/>
          <w:b/>
          <w:sz w:val="24"/>
          <w:szCs w:val="24"/>
        </w:rPr>
        <w:t>KLİNİK ÖZELLİKLER</w:t>
      </w: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4.1.</w:t>
      </w:r>
      <w:r w:rsidR="000F1413" w:rsidRPr="003A7448">
        <w:rPr>
          <w:rFonts w:ascii="Times New Roman" w:hAnsi="Times New Roman" w:cs="Times New Roman"/>
          <w:b/>
          <w:sz w:val="24"/>
          <w:szCs w:val="24"/>
        </w:rPr>
        <w:t xml:space="preserve"> </w:t>
      </w:r>
      <w:r w:rsidRPr="003A7448">
        <w:rPr>
          <w:rFonts w:ascii="Times New Roman" w:hAnsi="Times New Roman" w:cs="Times New Roman"/>
          <w:b/>
          <w:sz w:val="24"/>
          <w:szCs w:val="24"/>
        </w:rPr>
        <w:t>Terapötik endikasyonlar</w:t>
      </w:r>
    </w:p>
    <w:p w:rsidR="00B61945" w:rsidRPr="003A7448" w:rsidRDefault="00B61945"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DEVİT-3;</w:t>
      </w:r>
    </w:p>
    <w:p w:rsidR="00B61945" w:rsidRPr="003A7448" w:rsidRDefault="00B61945" w:rsidP="009A6DDC">
      <w:pPr>
        <w:pStyle w:val="ListeParagraf"/>
        <w:widowControl/>
        <w:numPr>
          <w:ilvl w:val="0"/>
          <w:numId w:val="10"/>
        </w:numPr>
        <w:spacing w:line="276" w:lineRule="auto"/>
        <w:ind w:left="426"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D vitamini eksikliği ya da yetmezliği</w:t>
      </w:r>
    </w:p>
    <w:p w:rsidR="00B61945" w:rsidRPr="003A7448" w:rsidRDefault="00B61945" w:rsidP="009A6DDC">
      <w:pPr>
        <w:pStyle w:val="ListeParagraf"/>
        <w:widowControl/>
        <w:numPr>
          <w:ilvl w:val="0"/>
          <w:numId w:val="10"/>
        </w:numPr>
        <w:spacing w:line="276" w:lineRule="auto"/>
        <w:ind w:left="426"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Malabsorbsiyona bağlı D vitamini eksikliğinin profilaksisi ve tedavisi</w:t>
      </w:r>
    </w:p>
    <w:p w:rsidR="00B61945" w:rsidRPr="003A7448" w:rsidRDefault="00B61945" w:rsidP="009A6DDC">
      <w:pPr>
        <w:pStyle w:val="ListeParagraf"/>
        <w:widowControl/>
        <w:numPr>
          <w:ilvl w:val="0"/>
          <w:numId w:val="10"/>
        </w:numPr>
        <w:spacing w:line="276" w:lineRule="auto"/>
        <w:ind w:left="426"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Yeni doğan, bebeklik ve çocuk raşitizmi</w:t>
      </w:r>
    </w:p>
    <w:p w:rsidR="00B61945" w:rsidRPr="003A7448" w:rsidRDefault="00B61945" w:rsidP="009A6DDC">
      <w:pPr>
        <w:pStyle w:val="ListeParagraf"/>
        <w:widowControl/>
        <w:numPr>
          <w:ilvl w:val="0"/>
          <w:numId w:val="10"/>
        </w:numPr>
        <w:spacing w:line="276" w:lineRule="auto"/>
        <w:ind w:left="426"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D vitamini eksikliği ile oluşmuş osteomalasia</w:t>
      </w:r>
    </w:p>
    <w:p w:rsidR="00B61945" w:rsidRPr="003A7448" w:rsidRDefault="00B61945" w:rsidP="009A6DDC">
      <w:pPr>
        <w:pStyle w:val="ListeParagraf"/>
        <w:widowControl/>
        <w:numPr>
          <w:ilvl w:val="0"/>
          <w:numId w:val="10"/>
        </w:numPr>
        <w:spacing w:line="276" w:lineRule="auto"/>
        <w:ind w:left="426"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Osteoporozun destek tedavisi için kalsiyum ve endike olgularda antiosteoporotik ajanlarla birlikte,</w:t>
      </w:r>
    </w:p>
    <w:p w:rsidR="00B61945" w:rsidRPr="003A7448" w:rsidRDefault="00B61945" w:rsidP="009A6DDC">
      <w:pPr>
        <w:pStyle w:val="ListeParagraf"/>
        <w:widowControl/>
        <w:numPr>
          <w:ilvl w:val="0"/>
          <w:numId w:val="10"/>
        </w:numPr>
        <w:spacing w:line="276" w:lineRule="auto"/>
        <w:ind w:left="426"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Glukokortikoid tedavisi alan hastalarda ve yaşlı hastalarda osteoporotik kırık açısından risk artışı olan durumların profilaksisinde</w:t>
      </w:r>
    </w:p>
    <w:p w:rsidR="00B61945" w:rsidRPr="003A7448" w:rsidRDefault="00B61945" w:rsidP="009A6DDC">
      <w:pPr>
        <w:pStyle w:val="ListeParagraf"/>
        <w:widowControl/>
        <w:numPr>
          <w:ilvl w:val="0"/>
          <w:numId w:val="10"/>
        </w:numPr>
        <w:spacing w:line="276" w:lineRule="auto"/>
        <w:ind w:left="426"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Sekonder hiperparatiroidizm tedavisinde endikedir.</w:t>
      </w:r>
    </w:p>
    <w:p w:rsidR="00D76C13" w:rsidRPr="003A7448" w:rsidRDefault="00D76C13" w:rsidP="009A6DDC">
      <w:pPr>
        <w:widowControl/>
        <w:spacing w:line="276" w:lineRule="auto"/>
        <w:ind w:right="1"/>
        <w:jc w:val="both"/>
        <w:rPr>
          <w:rFonts w:ascii="Times New Roman" w:eastAsia="TimesNewRoman,Bold" w:hAnsi="Times New Roman" w:cs="Times New Roman"/>
          <w:bCs/>
          <w:sz w:val="24"/>
          <w:szCs w:val="24"/>
        </w:rPr>
      </w:pP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4.2.</w:t>
      </w:r>
      <w:r w:rsidR="000F1413" w:rsidRPr="003A7448">
        <w:rPr>
          <w:rFonts w:ascii="Times New Roman" w:hAnsi="Times New Roman" w:cs="Times New Roman"/>
          <w:b/>
          <w:sz w:val="24"/>
          <w:szCs w:val="24"/>
        </w:rPr>
        <w:t xml:space="preserve"> </w:t>
      </w:r>
      <w:r w:rsidRPr="003A7448">
        <w:rPr>
          <w:rFonts w:ascii="Times New Roman" w:hAnsi="Times New Roman" w:cs="Times New Roman"/>
          <w:b/>
          <w:sz w:val="24"/>
          <w:szCs w:val="24"/>
        </w:rPr>
        <w:t>Pozoloji ve uygulama şekli</w:t>
      </w: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Pozoloji:</w:t>
      </w:r>
    </w:p>
    <w:p w:rsidR="00E766C8" w:rsidRPr="003A7448" w:rsidRDefault="00E766C8"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Doz ve tedavi süresi tedavi edilecek hastalığa göre hekim tavsiyesi ile belirlenir.</w:t>
      </w:r>
    </w:p>
    <w:p w:rsidR="00621A66" w:rsidRPr="003A7448" w:rsidRDefault="00621A66" w:rsidP="009A6DDC">
      <w:pPr>
        <w:shd w:val="clear" w:color="auto" w:fill="FFFFFF"/>
        <w:spacing w:line="276" w:lineRule="auto"/>
        <w:jc w:val="both"/>
        <w:rPr>
          <w:rFonts w:ascii="Times New Roman" w:hAnsi="Times New Roman" w:cs="Times New Roman"/>
          <w:b/>
          <w:sz w:val="24"/>
          <w:szCs w:val="24"/>
        </w:rPr>
      </w:pP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Uygulama sıklığı ve süresi:</w:t>
      </w:r>
    </w:p>
    <w:p w:rsidR="00C42B1A" w:rsidRPr="003A7448" w:rsidRDefault="00C42B1A" w:rsidP="009A6DDC">
      <w:pPr>
        <w:pStyle w:val="ListeParagraf"/>
        <w:widowControl/>
        <w:spacing w:line="276" w:lineRule="auto"/>
        <w:ind w:left="0"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D vitamini eksikliği ya da yetmezliği, yeni doğan, bebeklik ve çocuk raşitizmi tedavisinde</w:t>
      </w:r>
      <w:r w:rsidR="00C51666" w:rsidRPr="003A7448">
        <w:rPr>
          <w:rFonts w:ascii="Times New Roman" w:eastAsia="TimesNewRoman,Bold" w:hAnsi="Times New Roman" w:cs="Times New Roman"/>
          <w:bCs/>
          <w:sz w:val="24"/>
          <w:szCs w:val="24"/>
        </w:rPr>
        <w:t xml:space="preserve"> gene</w:t>
      </w:r>
      <w:r w:rsidR="00FE1B1E" w:rsidRPr="003A7448">
        <w:rPr>
          <w:rFonts w:ascii="Times New Roman" w:eastAsia="TimesNewRoman,Bold" w:hAnsi="Times New Roman" w:cs="Times New Roman"/>
          <w:bCs/>
          <w:sz w:val="24"/>
          <w:szCs w:val="24"/>
        </w:rPr>
        <w:t>llikle 3-4 hafta ara ile 1 ml (</w:t>
      </w:r>
      <w:r w:rsidR="00C51666" w:rsidRPr="003A7448">
        <w:rPr>
          <w:rFonts w:ascii="Times New Roman" w:eastAsia="TimesNewRoman,Bold" w:hAnsi="Times New Roman" w:cs="Times New Roman"/>
          <w:bCs/>
          <w:sz w:val="24"/>
          <w:szCs w:val="24"/>
        </w:rPr>
        <w:t xml:space="preserve">300.000 I.U.), </w:t>
      </w:r>
      <w:r w:rsidRPr="003A7448">
        <w:rPr>
          <w:rFonts w:ascii="Times New Roman" w:eastAsia="TimesNewRoman,Bold" w:hAnsi="Times New Roman" w:cs="Times New Roman"/>
          <w:bCs/>
          <w:sz w:val="24"/>
          <w:szCs w:val="24"/>
        </w:rPr>
        <w:t xml:space="preserve">malabsorbsiyona bağlı D vitamini eksikliğinin profilaksisi ve tedavisinde </w:t>
      </w:r>
      <w:r w:rsidR="00C51666" w:rsidRPr="003A7448">
        <w:rPr>
          <w:rFonts w:ascii="Times New Roman" w:eastAsia="TimesNewRoman,Bold" w:hAnsi="Times New Roman" w:cs="Times New Roman"/>
          <w:bCs/>
          <w:sz w:val="24"/>
          <w:szCs w:val="24"/>
        </w:rPr>
        <w:t xml:space="preserve">3-4 hafta ara ile 1 ml (300.000 I.U.) </w:t>
      </w:r>
      <w:r w:rsidR="006855A7" w:rsidRPr="003A7448">
        <w:rPr>
          <w:rFonts w:ascii="Times New Roman" w:eastAsia="TimesNewRoman,Bold" w:hAnsi="Times New Roman" w:cs="Times New Roman"/>
          <w:bCs/>
          <w:sz w:val="24"/>
          <w:szCs w:val="24"/>
        </w:rPr>
        <w:t>veya 1/2 ml’ lik 2 doz halinde verilir.</w:t>
      </w:r>
    </w:p>
    <w:p w:rsidR="00C42B1A" w:rsidRPr="003A7448" w:rsidRDefault="00C42B1A" w:rsidP="009A6DDC">
      <w:pPr>
        <w:pStyle w:val="ListeParagraf"/>
        <w:widowControl/>
        <w:spacing w:line="276" w:lineRule="auto"/>
        <w:ind w:left="0" w:right="1"/>
        <w:jc w:val="both"/>
        <w:rPr>
          <w:rFonts w:ascii="Times New Roman" w:eastAsia="TimesNewRoman,Bold" w:hAnsi="Times New Roman" w:cs="Times New Roman"/>
          <w:bCs/>
          <w:sz w:val="24"/>
          <w:szCs w:val="24"/>
        </w:rPr>
      </w:pPr>
    </w:p>
    <w:p w:rsidR="00C51666" w:rsidRPr="003A7448" w:rsidRDefault="00C42B1A" w:rsidP="009A6DDC">
      <w:pPr>
        <w:pStyle w:val="ListeParagraf"/>
        <w:widowControl/>
        <w:spacing w:line="276" w:lineRule="auto"/>
        <w:ind w:left="0"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 xml:space="preserve">D vitamini eksikliği ile oluşmuş osteomalasia, osteoporozun destek tedavisi, osteoporotik kırık açısından risk artışı olan durumların profilaksisinde ve sekonder hiperparatiroidizm tedavisinde </w:t>
      </w:r>
      <w:r w:rsidR="00C51666" w:rsidRPr="003A7448">
        <w:rPr>
          <w:rFonts w:ascii="Times New Roman" w:eastAsia="TimesNewRoman,Bold" w:hAnsi="Times New Roman" w:cs="Times New Roman"/>
          <w:bCs/>
          <w:sz w:val="24"/>
          <w:szCs w:val="24"/>
        </w:rPr>
        <w:t>6-12 hafta müddetle, haftada bir defa 1 ml (300.000 I.U.) verilir.</w:t>
      </w:r>
    </w:p>
    <w:p w:rsidR="00621A66" w:rsidRPr="003A7448" w:rsidRDefault="00621A66" w:rsidP="009A6DDC">
      <w:pPr>
        <w:shd w:val="clear" w:color="auto" w:fill="FFFFFF"/>
        <w:spacing w:line="276" w:lineRule="auto"/>
        <w:ind w:right="1"/>
        <w:jc w:val="both"/>
        <w:rPr>
          <w:rFonts w:ascii="Times New Roman" w:hAnsi="Times New Roman" w:cs="Times New Roman"/>
          <w:b/>
          <w:sz w:val="24"/>
          <w:szCs w:val="24"/>
        </w:rPr>
      </w:pPr>
    </w:p>
    <w:p w:rsidR="009A6DDC" w:rsidRPr="003A7448" w:rsidRDefault="009A6DDC" w:rsidP="009A6DDC">
      <w:pPr>
        <w:shd w:val="clear" w:color="auto" w:fill="FFFFFF"/>
        <w:spacing w:line="276" w:lineRule="auto"/>
        <w:ind w:right="1"/>
        <w:jc w:val="both"/>
        <w:rPr>
          <w:rFonts w:ascii="Times New Roman" w:hAnsi="Times New Roman" w:cs="Times New Roman"/>
          <w:b/>
          <w:sz w:val="24"/>
          <w:szCs w:val="24"/>
        </w:rPr>
      </w:pP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lastRenderedPageBreak/>
        <w:t>Uygulama şekli:</w:t>
      </w:r>
    </w:p>
    <w:p w:rsidR="00C51666" w:rsidRPr="003A7448" w:rsidRDefault="00FD71CE"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 xml:space="preserve">DEVİT-3 </w:t>
      </w:r>
      <w:r w:rsidR="00C51666" w:rsidRPr="003A7448">
        <w:rPr>
          <w:rFonts w:ascii="Times New Roman" w:hAnsi="Times New Roman" w:cs="Times New Roman"/>
          <w:sz w:val="24"/>
          <w:szCs w:val="24"/>
        </w:rPr>
        <w:t>Ampul, hekimin tavsiyesine ve hastanın tercihine göre oral veya intramüsküler olarak kulla</w:t>
      </w:r>
      <w:r w:rsidR="00B61945" w:rsidRPr="003A7448">
        <w:rPr>
          <w:rFonts w:ascii="Times New Roman" w:hAnsi="Times New Roman" w:cs="Times New Roman"/>
          <w:sz w:val="24"/>
          <w:szCs w:val="24"/>
        </w:rPr>
        <w:t>nılabilir ancak, kalsiyum absorp</w:t>
      </w:r>
      <w:r w:rsidR="00C51666" w:rsidRPr="003A7448">
        <w:rPr>
          <w:rFonts w:ascii="Times New Roman" w:hAnsi="Times New Roman" w:cs="Times New Roman"/>
          <w:sz w:val="24"/>
          <w:szCs w:val="24"/>
        </w:rPr>
        <w:t>siyonu bozukluklarında adaleye enjekte edilmelidir.</w:t>
      </w:r>
    </w:p>
    <w:p w:rsidR="00BD172B" w:rsidRPr="003A7448" w:rsidRDefault="00BD172B" w:rsidP="009A6DDC">
      <w:pPr>
        <w:shd w:val="clear" w:color="auto" w:fill="FFFFFF"/>
        <w:spacing w:line="276" w:lineRule="auto"/>
        <w:ind w:right="1"/>
        <w:jc w:val="both"/>
        <w:rPr>
          <w:rFonts w:ascii="Times New Roman" w:hAnsi="Times New Roman" w:cs="Times New Roman"/>
          <w:b/>
          <w:sz w:val="24"/>
          <w:szCs w:val="24"/>
        </w:rPr>
      </w:pPr>
    </w:p>
    <w:p w:rsidR="00B61945" w:rsidRPr="003A7448" w:rsidRDefault="00B61945"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 xml:space="preserve">Özel popülasyonlara ilişkin ek bilgiler: </w:t>
      </w:r>
    </w:p>
    <w:p w:rsidR="00B61945" w:rsidRPr="003A7448" w:rsidRDefault="00B61945"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Karaciğer yetmezliği:</w:t>
      </w:r>
    </w:p>
    <w:p w:rsidR="00B61945" w:rsidRPr="003A7448" w:rsidRDefault="00B61945"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Veri yoktur.</w:t>
      </w:r>
    </w:p>
    <w:p w:rsidR="00B61945" w:rsidRPr="003A7448" w:rsidRDefault="00B61945"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Böbrek yetmezliği:</w:t>
      </w:r>
    </w:p>
    <w:p w:rsidR="00B61945" w:rsidRPr="003A7448" w:rsidRDefault="00B61945"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Ağır derecede böbrek yetmezliği olan hastalarda kalsiyum ile birlikte kullanılmamalıdır.</w:t>
      </w:r>
    </w:p>
    <w:p w:rsidR="00B61945" w:rsidRPr="003A7448" w:rsidRDefault="00B61945"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Pediyatrik popülasyon:</w:t>
      </w:r>
    </w:p>
    <w:p w:rsidR="00B61945" w:rsidRPr="003A7448" w:rsidRDefault="00B61945"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Pozoloji/uygulama sıklığı ve süresi bölümünde belirtildiği şekilde uygulanır.</w:t>
      </w:r>
    </w:p>
    <w:p w:rsidR="00B61945" w:rsidRPr="003A7448" w:rsidRDefault="00B61945"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Geriyatrik popülasyon:</w:t>
      </w:r>
    </w:p>
    <w:p w:rsidR="00B61945" w:rsidRPr="003A7448" w:rsidRDefault="00B61945"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Veri yoktur.</w:t>
      </w:r>
    </w:p>
    <w:p w:rsidR="005B2D69" w:rsidRPr="003A7448" w:rsidRDefault="005B2D69" w:rsidP="009A6DDC">
      <w:pPr>
        <w:shd w:val="clear" w:color="auto" w:fill="FFFFFF"/>
        <w:spacing w:line="276" w:lineRule="auto"/>
        <w:ind w:right="1"/>
        <w:jc w:val="both"/>
        <w:rPr>
          <w:rFonts w:ascii="Times New Roman" w:hAnsi="Times New Roman" w:cs="Times New Roman"/>
          <w:sz w:val="24"/>
          <w:szCs w:val="24"/>
        </w:rPr>
      </w:pP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4.3.</w:t>
      </w:r>
      <w:r w:rsidR="000F1413" w:rsidRPr="003A7448">
        <w:rPr>
          <w:rFonts w:ascii="Times New Roman" w:hAnsi="Times New Roman" w:cs="Times New Roman"/>
          <w:b/>
          <w:sz w:val="24"/>
          <w:szCs w:val="24"/>
        </w:rPr>
        <w:t xml:space="preserve"> </w:t>
      </w:r>
      <w:r w:rsidRPr="003A7448">
        <w:rPr>
          <w:rFonts w:ascii="Times New Roman" w:hAnsi="Times New Roman" w:cs="Times New Roman"/>
          <w:b/>
          <w:sz w:val="24"/>
          <w:szCs w:val="24"/>
        </w:rPr>
        <w:t>Kontrendikasyonlar</w:t>
      </w:r>
    </w:p>
    <w:p w:rsidR="00B61945" w:rsidRPr="003A7448" w:rsidRDefault="00B61945"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DEVİT-3, D vitaminine ya da bileşimindeki herhangi bir maddeye karşı aşırı duyarlılığı olan hastalarda kontrendikedir.</w:t>
      </w:r>
    </w:p>
    <w:p w:rsidR="005358AD" w:rsidRPr="003A7448" w:rsidRDefault="005358AD"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Ağır hipertansiyon, ileri derecede arteriyoskleroz ve aktif akciğer tüberkülozunda uzun müddet yüksek dozlarda kullanılması kontrendikedir.</w:t>
      </w:r>
    </w:p>
    <w:p w:rsidR="00B61945" w:rsidRPr="003A7448" w:rsidRDefault="00B61945"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D vitamini hipervitaminozu, hiperkalsemi, hiperkalsiüri durumlarında</w:t>
      </w:r>
      <w:r w:rsidR="00BD172B" w:rsidRPr="003A7448">
        <w:rPr>
          <w:rFonts w:ascii="Times New Roman" w:hAnsi="Times New Roman" w:cs="Times New Roman"/>
          <w:sz w:val="24"/>
          <w:szCs w:val="24"/>
        </w:rPr>
        <w:t>,</w:t>
      </w:r>
      <w:r w:rsidRPr="003A7448">
        <w:rPr>
          <w:rFonts w:ascii="Times New Roman" w:hAnsi="Times New Roman" w:cs="Times New Roman"/>
          <w:sz w:val="24"/>
          <w:szCs w:val="24"/>
        </w:rPr>
        <w:t xml:space="preserve"> kalsiyum içeren böbrek taşı olan hastalarda ve kalsiyum hipersensivitesinde de kontrendikedir.</w:t>
      </w:r>
    </w:p>
    <w:p w:rsidR="00621A66" w:rsidRPr="003A7448" w:rsidRDefault="00621A66" w:rsidP="009A6DDC">
      <w:pPr>
        <w:shd w:val="clear" w:color="auto" w:fill="FFFFFF"/>
        <w:spacing w:line="276" w:lineRule="auto"/>
        <w:ind w:right="1"/>
        <w:jc w:val="both"/>
        <w:rPr>
          <w:rFonts w:ascii="Times New Roman" w:hAnsi="Times New Roman" w:cs="Times New Roman"/>
          <w:sz w:val="24"/>
          <w:szCs w:val="24"/>
        </w:rPr>
      </w:pP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4.4.</w:t>
      </w:r>
      <w:r w:rsidR="000F1413" w:rsidRPr="003A7448">
        <w:rPr>
          <w:rFonts w:ascii="Times New Roman" w:hAnsi="Times New Roman" w:cs="Times New Roman"/>
          <w:b/>
          <w:sz w:val="24"/>
          <w:szCs w:val="24"/>
        </w:rPr>
        <w:t xml:space="preserve"> </w:t>
      </w:r>
      <w:r w:rsidRPr="003A7448">
        <w:rPr>
          <w:rFonts w:ascii="Times New Roman" w:hAnsi="Times New Roman" w:cs="Times New Roman"/>
          <w:b/>
          <w:sz w:val="24"/>
          <w:szCs w:val="24"/>
        </w:rPr>
        <w:t>Özel kullanım uyarıları ve önlemleri</w:t>
      </w:r>
    </w:p>
    <w:p w:rsidR="005358AD" w:rsidRPr="003A7448" w:rsidRDefault="005358AD"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D</w:t>
      </w:r>
      <w:r w:rsidRPr="003A7448">
        <w:rPr>
          <w:rFonts w:ascii="Times New Roman" w:hAnsi="Times New Roman" w:cs="Times New Roman"/>
          <w:sz w:val="24"/>
          <w:szCs w:val="24"/>
          <w:vertAlign w:val="subscript"/>
        </w:rPr>
        <w:t>3</w:t>
      </w:r>
      <w:r w:rsidRPr="003A7448">
        <w:rPr>
          <w:rFonts w:ascii="Times New Roman" w:hAnsi="Times New Roman" w:cs="Times New Roman"/>
          <w:sz w:val="24"/>
          <w:szCs w:val="24"/>
        </w:rPr>
        <w:t xml:space="preserve"> vitaminin devamlı kullanılmasını gerektiren durumlarda böbrek fonksiyonları kontrol edilmelidir.</w:t>
      </w:r>
    </w:p>
    <w:p w:rsidR="009743A0" w:rsidRPr="003A7448" w:rsidRDefault="009743A0" w:rsidP="009A6DDC">
      <w:pPr>
        <w:pStyle w:val="ListeParagraf"/>
        <w:widowControl/>
        <w:numPr>
          <w:ilvl w:val="0"/>
          <w:numId w:val="12"/>
        </w:numPr>
        <w:spacing w:line="276" w:lineRule="auto"/>
        <w:ind w:left="426"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 xml:space="preserve">Hareketliliği kısıtlanmış </w:t>
      </w:r>
    </w:p>
    <w:p w:rsidR="009743A0" w:rsidRPr="003A7448" w:rsidRDefault="009743A0" w:rsidP="009A6DDC">
      <w:pPr>
        <w:pStyle w:val="ListeParagraf"/>
        <w:widowControl/>
        <w:numPr>
          <w:ilvl w:val="0"/>
          <w:numId w:val="12"/>
        </w:numPr>
        <w:spacing w:line="276" w:lineRule="auto"/>
        <w:ind w:left="426"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Benzotiyadiazin türevleri ile tedavi edilen</w:t>
      </w:r>
    </w:p>
    <w:p w:rsidR="009743A0" w:rsidRPr="003A7448" w:rsidRDefault="009743A0" w:rsidP="009A6DDC">
      <w:pPr>
        <w:pStyle w:val="ListeParagraf"/>
        <w:widowControl/>
        <w:numPr>
          <w:ilvl w:val="0"/>
          <w:numId w:val="12"/>
        </w:numPr>
        <w:spacing w:line="276" w:lineRule="auto"/>
        <w:ind w:left="426"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Böbrek taşı geçmişi olan</w:t>
      </w:r>
    </w:p>
    <w:p w:rsidR="009743A0" w:rsidRPr="003A7448" w:rsidRDefault="009743A0" w:rsidP="009A6DDC">
      <w:pPr>
        <w:pStyle w:val="ListeParagraf"/>
        <w:widowControl/>
        <w:numPr>
          <w:ilvl w:val="0"/>
          <w:numId w:val="12"/>
        </w:numPr>
        <w:spacing w:line="276" w:lineRule="auto"/>
        <w:ind w:left="426"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 xml:space="preserve">Sarkoidozlu </w:t>
      </w:r>
    </w:p>
    <w:p w:rsidR="009743A0" w:rsidRPr="003A7448" w:rsidRDefault="009743A0" w:rsidP="009A6DDC">
      <w:pPr>
        <w:pStyle w:val="ListeParagraf"/>
        <w:widowControl/>
        <w:numPr>
          <w:ilvl w:val="0"/>
          <w:numId w:val="12"/>
        </w:numPr>
        <w:spacing w:line="276" w:lineRule="auto"/>
        <w:ind w:left="426"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 xml:space="preserve">Pseudohipoparatiroidizmli </w:t>
      </w:r>
    </w:p>
    <w:p w:rsidR="009743A0" w:rsidRPr="003A7448" w:rsidRDefault="009743A0" w:rsidP="009A6DDC">
      <w:pPr>
        <w:spacing w:line="276" w:lineRule="auto"/>
        <w:ind w:left="426"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hastalar için özel bir uyarı yapılmalıdır.</w:t>
      </w:r>
    </w:p>
    <w:p w:rsidR="00BD172B" w:rsidRPr="003A7448" w:rsidRDefault="00BD172B" w:rsidP="009A6DDC">
      <w:pPr>
        <w:spacing w:line="276" w:lineRule="auto"/>
        <w:ind w:right="1"/>
        <w:jc w:val="both"/>
        <w:rPr>
          <w:rFonts w:ascii="Times New Roman" w:eastAsia="TimesNewRoman,Bold" w:hAnsi="Times New Roman" w:cs="Times New Roman"/>
          <w:bCs/>
          <w:sz w:val="24"/>
          <w:szCs w:val="24"/>
        </w:rPr>
      </w:pPr>
    </w:p>
    <w:p w:rsidR="009743A0" w:rsidRPr="003A7448" w:rsidRDefault="009743A0"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 xml:space="preserve">Uzun süreli tedavilerde serum ve </w:t>
      </w:r>
      <w:r w:rsidR="00A22354" w:rsidRPr="003A7448">
        <w:rPr>
          <w:rFonts w:ascii="Times New Roman" w:eastAsia="TimesNewRoman,Bold" w:hAnsi="Times New Roman" w:cs="Times New Roman"/>
          <w:bCs/>
          <w:sz w:val="24"/>
          <w:szCs w:val="24"/>
        </w:rPr>
        <w:t>idrar</w:t>
      </w:r>
      <w:r w:rsidRPr="003A7448">
        <w:rPr>
          <w:rFonts w:ascii="Times New Roman" w:eastAsia="TimesNewRoman,Bold" w:hAnsi="Times New Roman" w:cs="Times New Roman"/>
          <w:bCs/>
          <w:sz w:val="24"/>
          <w:szCs w:val="24"/>
        </w:rPr>
        <w:t xml:space="preserve"> kalsiyum seviyeleri ve serum kreatini</w:t>
      </w:r>
      <w:r w:rsidR="004A0B31" w:rsidRPr="003A7448">
        <w:rPr>
          <w:rFonts w:ascii="Times New Roman" w:eastAsia="TimesNewRoman,Bold" w:hAnsi="Times New Roman" w:cs="Times New Roman"/>
          <w:bCs/>
          <w:sz w:val="24"/>
          <w:szCs w:val="24"/>
        </w:rPr>
        <w:t>n</w:t>
      </w:r>
      <w:r w:rsidRPr="003A7448">
        <w:rPr>
          <w:rFonts w:ascii="Times New Roman" w:eastAsia="TimesNewRoman,Bold" w:hAnsi="Times New Roman" w:cs="Times New Roman"/>
          <w:bCs/>
          <w:sz w:val="24"/>
          <w:szCs w:val="24"/>
        </w:rPr>
        <w:t xml:space="preserve"> ölçümü ile böbrek fonksiyonları her 3 ila 6 ayda bir mutlaka kontrol edilmelidir. Bu kontroller özellikle yaşlı hastalarda ve kardiyak glikozidleri veya diüretikler ile eş zamanlı tedavide önemlidir. Hiperkalsemi veya azalmış böbrek fonksiyonu semptomlarında doz mutlaka azaltılmalıdır veya tedavi ertelenmelidir. İdrardaki kalsiyum düzeyi 7.5 mmol/24 saat (300 mg/</w:t>
      </w:r>
      <w:r w:rsidR="008D737C" w:rsidRPr="003A7448">
        <w:rPr>
          <w:rFonts w:ascii="Times New Roman" w:eastAsia="TimesNewRoman,Bold" w:hAnsi="Times New Roman" w:cs="Times New Roman"/>
          <w:bCs/>
          <w:sz w:val="24"/>
          <w:szCs w:val="24"/>
        </w:rPr>
        <w:t>24 saat) sınırını aşarsa d</w:t>
      </w:r>
      <w:r w:rsidRPr="003A7448">
        <w:rPr>
          <w:rFonts w:ascii="Times New Roman" w:eastAsia="TimesNewRoman,Bold" w:hAnsi="Times New Roman" w:cs="Times New Roman"/>
          <w:bCs/>
          <w:sz w:val="24"/>
          <w:szCs w:val="24"/>
        </w:rPr>
        <w:t>ozun azaltılması veya tedavi kesilme</w:t>
      </w:r>
      <w:r w:rsidR="008D737C" w:rsidRPr="003A7448">
        <w:rPr>
          <w:rFonts w:ascii="Times New Roman" w:eastAsia="TimesNewRoman,Bold" w:hAnsi="Times New Roman" w:cs="Times New Roman"/>
          <w:bCs/>
          <w:sz w:val="24"/>
          <w:szCs w:val="24"/>
        </w:rPr>
        <w:t xml:space="preserve">si önerilir. </w:t>
      </w:r>
    </w:p>
    <w:p w:rsidR="00621A66" w:rsidRPr="003A7448" w:rsidRDefault="00621A66" w:rsidP="009A6DDC">
      <w:pPr>
        <w:spacing w:line="276" w:lineRule="auto"/>
        <w:ind w:right="1"/>
        <w:jc w:val="both"/>
        <w:rPr>
          <w:rFonts w:ascii="Times New Roman" w:eastAsia="TimesNewRoman,Bold" w:hAnsi="Times New Roman" w:cs="Times New Roman"/>
          <w:bCs/>
          <w:sz w:val="24"/>
          <w:szCs w:val="24"/>
        </w:rPr>
      </w:pPr>
    </w:p>
    <w:p w:rsidR="006F7B3F" w:rsidRPr="003A7448" w:rsidRDefault="006F7B3F"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Eğer DEVİT-3, vitamin D</w:t>
      </w:r>
      <w:r w:rsidRPr="003A7448">
        <w:rPr>
          <w:rFonts w:ascii="Times New Roman" w:eastAsia="TimesNewRoman,Bold" w:hAnsi="Times New Roman" w:cs="Times New Roman"/>
          <w:bCs/>
          <w:sz w:val="24"/>
          <w:szCs w:val="24"/>
          <w:vertAlign w:val="subscript"/>
        </w:rPr>
        <w:t>3</w:t>
      </w:r>
      <w:r w:rsidRPr="003A7448">
        <w:rPr>
          <w:rFonts w:ascii="Times New Roman" w:eastAsia="TimesNewRoman,Bold" w:hAnsi="Times New Roman" w:cs="Times New Roman"/>
          <w:bCs/>
          <w:sz w:val="24"/>
          <w:szCs w:val="24"/>
        </w:rPr>
        <w:t xml:space="preserve"> içeren diğer ürünler ile birlikte verilecekse, toplam vitamin D dozuna dikkat edilmelidir. İlave D vitamini veya kalsiyum ancak tıbbı tıbbi gözlem altında verilebilir. Bu tip durumlarda serum ve idrardaki kalsiyum içeriği takip edilmelidir.</w:t>
      </w:r>
    </w:p>
    <w:p w:rsidR="006F7B3F" w:rsidRPr="003A7448" w:rsidRDefault="006F7B3F"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lastRenderedPageBreak/>
        <w:t>Renal fonksiyon yetersizliği olan hastalarda vitamin D</w:t>
      </w:r>
      <w:r w:rsidRPr="003A7448">
        <w:rPr>
          <w:rFonts w:ascii="Times New Roman" w:eastAsia="TimesNewRoman,Bold" w:hAnsi="Times New Roman" w:cs="Times New Roman"/>
          <w:bCs/>
          <w:sz w:val="24"/>
          <w:szCs w:val="24"/>
          <w:vertAlign w:val="subscript"/>
        </w:rPr>
        <w:t>3</w:t>
      </w:r>
      <w:r w:rsidRPr="003A7448">
        <w:rPr>
          <w:rFonts w:ascii="Times New Roman" w:eastAsia="TimesNewRoman,Bold" w:hAnsi="Times New Roman" w:cs="Times New Roman"/>
          <w:bCs/>
          <w:sz w:val="24"/>
          <w:szCs w:val="24"/>
        </w:rPr>
        <w:t xml:space="preserve"> dikkatli kullanılmalıdır ve kalsiyum ile fosfat seviyelerine etkisi mutlaka izlenmelidir. </w:t>
      </w:r>
      <w:r w:rsidR="004A0B31" w:rsidRPr="003A7448">
        <w:rPr>
          <w:rFonts w:ascii="Times New Roman" w:eastAsia="TimesNewRoman,Bold" w:hAnsi="Times New Roman" w:cs="Times New Roman"/>
          <w:bCs/>
          <w:sz w:val="24"/>
          <w:szCs w:val="24"/>
        </w:rPr>
        <w:t>D vitamini düzeyleri ölçülmelidir.</w:t>
      </w:r>
    </w:p>
    <w:p w:rsidR="00621A66" w:rsidRPr="003A7448" w:rsidRDefault="00621A66" w:rsidP="009A6DDC">
      <w:pPr>
        <w:spacing w:line="276" w:lineRule="auto"/>
        <w:ind w:right="1"/>
        <w:jc w:val="both"/>
        <w:rPr>
          <w:rFonts w:ascii="Times New Roman" w:eastAsia="TimesNewRoman,Bold" w:hAnsi="Times New Roman" w:cs="Times New Roman"/>
          <w:bCs/>
          <w:sz w:val="24"/>
          <w:szCs w:val="24"/>
        </w:rPr>
      </w:pPr>
    </w:p>
    <w:p w:rsidR="006F7B3F" w:rsidRPr="003A7448" w:rsidRDefault="006F7B3F"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Vitamin D</w:t>
      </w:r>
      <w:r w:rsidRPr="003A7448">
        <w:rPr>
          <w:rFonts w:ascii="Times New Roman" w:eastAsia="TimesNewRoman,Bold" w:hAnsi="Times New Roman" w:cs="Times New Roman"/>
          <w:bCs/>
          <w:sz w:val="24"/>
          <w:szCs w:val="24"/>
          <w:vertAlign w:val="subscript"/>
        </w:rPr>
        <w:t>3</w:t>
      </w:r>
      <w:r w:rsidRPr="003A7448">
        <w:rPr>
          <w:rFonts w:ascii="Times New Roman" w:eastAsia="TimesNewRoman,Bold" w:hAnsi="Times New Roman" w:cs="Times New Roman"/>
          <w:bCs/>
          <w:sz w:val="24"/>
          <w:szCs w:val="24"/>
        </w:rPr>
        <w:t>, sarkoidoz ve diğer granülomatöz bozuklukları bulunan hastalarda, vitamin D'nin aktif formuna metabolizasyonunda artış riski nedeniyle dikkatle verilmelidir. Bu hastalar serum ve idardaki kalsiyum içeriği hususunda izlenmelidirler.</w:t>
      </w:r>
    </w:p>
    <w:p w:rsidR="00621A66" w:rsidRPr="003A7448" w:rsidRDefault="00621A66" w:rsidP="009A6DDC">
      <w:pPr>
        <w:shd w:val="clear" w:color="auto" w:fill="FFFFFF"/>
        <w:spacing w:line="276" w:lineRule="auto"/>
        <w:ind w:right="1"/>
        <w:jc w:val="both"/>
        <w:rPr>
          <w:rFonts w:ascii="Times New Roman" w:hAnsi="Times New Roman" w:cs="Times New Roman"/>
          <w:sz w:val="24"/>
          <w:szCs w:val="24"/>
        </w:rPr>
      </w:pPr>
    </w:p>
    <w:p w:rsidR="003E50E4" w:rsidRPr="003A7448" w:rsidRDefault="003E50E4"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Gebelikte önerilen D vitamini g</w:t>
      </w:r>
      <w:r w:rsidR="003C0CC3" w:rsidRPr="003A7448">
        <w:rPr>
          <w:rFonts w:ascii="Times New Roman" w:hAnsi="Times New Roman" w:cs="Times New Roman"/>
          <w:sz w:val="24"/>
          <w:szCs w:val="24"/>
        </w:rPr>
        <w:t>ünlük</w:t>
      </w:r>
      <w:r w:rsidRPr="003A7448">
        <w:rPr>
          <w:rFonts w:ascii="Times New Roman" w:hAnsi="Times New Roman" w:cs="Times New Roman"/>
          <w:sz w:val="24"/>
          <w:szCs w:val="24"/>
        </w:rPr>
        <w:t xml:space="preserve"> doz 6</w:t>
      </w:r>
      <w:r w:rsidR="003C0CC3" w:rsidRPr="003A7448">
        <w:rPr>
          <w:rFonts w:ascii="Times New Roman" w:hAnsi="Times New Roman" w:cs="Times New Roman"/>
          <w:sz w:val="24"/>
          <w:szCs w:val="24"/>
        </w:rPr>
        <w:t>00 I.U.’</w:t>
      </w:r>
      <w:r w:rsidR="005358AD" w:rsidRPr="003A7448">
        <w:rPr>
          <w:rFonts w:ascii="Times New Roman" w:hAnsi="Times New Roman" w:cs="Times New Roman"/>
          <w:sz w:val="24"/>
          <w:szCs w:val="24"/>
        </w:rPr>
        <w:t xml:space="preserve">dir. </w:t>
      </w:r>
      <w:r w:rsidRPr="003A7448">
        <w:rPr>
          <w:rFonts w:ascii="Times New Roman" w:hAnsi="Times New Roman" w:cs="Times New Roman"/>
          <w:sz w:val="24"/>
          <w:szCs w:val="24"/>
        </w:rPr>
        <w:t xml:space="preserve">Günlük maksimum </w:t>
      </w:r>
      <w:r w:rsidR="006F7B3F" w:rsidRPr="003A7448">
        <w:rPr>
          <w:rFonts w:ascii="Times New Roman" w:hAnsi="Times New Roman" w:cs="Times New Roman"/>
          <w:sz w:val="24"/>
          <w:szCs w:val="24"/>
        </w:rPr>
        <w:t xml:space="preserve">tolere edilebilen </w:t>
      </w:r>
      <w:r w:rsidRPr="003A7448">
        <w:rPr>
          <w:rFonts w:ascii="Times New Roman" w:hAnsi="Times New Roman" w:cs="Times New Roman"/>
          <w:sz w:val="24"/>
          <w:szCs w:val="24"/>
        </w:rPr>
        <w:t xml:space="preserve">doz ise 4000 IU’dir. </w:t>
      </w:r>
      <w:r w:rsidR="005358AD" w:rsidRPr="003A7448">
        <w:rPr>
          <w:rFonts w:ascii="Times New Roman" w:hAnsi="Times New Roman" w:cs="Times New Roman"/>
          <w:sz w:val="24"/>
          <w:szCs w:val="24"/>
        </w:rPr>
        <w:t>Hamile kadınlarda</w:t>
      </w:r>
      <w:r w:rsidRPr="003A7448">
        <w:rPr>
          <w:rFonts w:ascii="Times New Roman" w:hAnsi="Times New Roman" w:cs="Times New Roman"/>
          <w:sz w:val="24"/>
          <w:szCs w:val="24"/>
        </w:rPr>
        <w:t>,</w:t>
      </w:r>
      <w:r w:rsidR="006F7B3F" w:rsidRPr="003A7448">
        <w:rPr>
          <w:rFonts w:ascii="Times New Roman" w:hAnsi="Times New Roman" w:cs="Times New Roman"/>
          <w:sz w:val="24"/>
          <w:szCs w:val="24"/>
        </w:rPr>
        <w:t xml:space="preserve"> gerekliyse,</w:t>
      </w:r>
      <w:r w:rsidR="005358AD" w:rsidRPr="003A7448">
        <w:rPr>
          <w:rFonts w:ascii="Times New Roman" w:hAnsi="Times New Roman" w:cs="Times New Roman"/>
          <w:sz w:val="24"/>
          <w:szCs w:val="24"/>
        </w:rPr>
        <w:t xml:space="preserve"> </w:t>
      </w:r>
      <w:r w:rsidRPr="003A7448">
        <w:rPr>
          <w:rFonts w:ascii="Times New Roman" w:hAnsi="Times New Roman" w:cs="Times New Roman"/>
          <w:sz w:val="24"/>
          <w:szCs w:val="24"/>
        </w:rPr>
        <w:t xml:space="preserve">doktor tavsiyesi ile uygun dozda kullanılabilir. </w:t>
      </w:r>
    </w:p>
    <w:p w:rsidR="00621A66" w:rsidRPr="003A7448" w:rsidRDefault="00621A66" w:rsidP="009A6DDC">
      <w:pPr>
        <w:spacing w:line="276" w:lineRule="auto"/>
        <w:ind w:right="1"/>
        <w:jc w:val="both"/>
        <w:rPr>
          <w:rFonts w:ascii="Times New Roman" w:hAnsi="Times New Roman" w:cs="Times New Roman"/>
          <w:sz w:val="24"/>
          <w:szCs w:val="24"/>
        </w:rPr>
      </w:pPr>
    </w:p>
    <w:p w:rsidR="007D7ACA" w:rsidRPr="003A7448" w:rsidRDefault="007D7ACA" w:rsidP="009A6DDC">
      <w:pPr>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Hiperkalsemisi olduğu bilinen çocuklarda serum kalsiyum seviyeleri takip edilmelidir.</w:t>
      </w:r>
    </w:p>
    <w:p w:rsidR="003E64B8" w:rsidRPr="003A7448" w:rsidRDefault="003E64B8"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D vitamininin terapötik indeksi bebek ve çocuklarda oldukça düşüktür. Hiperkalsemi uzun sürerse bebeklerde mental ve fiziksel gelişmede gerileme</w:t>
      </w:r>
      <w:r w:rsidR="00066D97" w:rsidRPr="003A7448">
        <w:rPr>
          <w:rFonts w:ascii="Times New Roman" w:eastAsia="TimesNewRoman,Bold" w:hAnsi="Times New Roman" w:cs="Times New Roman"/>
          <w:bCs/>
          <w:sz w:val="24"/>
          <w:szCs w:val="24"/>
        </w:rPr>
        <w:t>nin yanı sıra konjenital kalp ve göz hastalıkları</w:t>
      </w:r>
      <w:r w:rsidRPr="003A7448">
        <w:rPr>
          <w:rFonts w:ascii="Times New Roman" w:eastAsia="TimesNewRoman,Bold" w:hAnsi="Times New Roman" w:cs="Times New Roman"/>
          <w:bCs/>
          <w:sz w:val="24"/>
          <w:szCs w:val="24"/>
        </w:rPr>
        <w:t xml:space="preserve"> yapar. Farmakolojik dozda D vitamini alan emziren annelerin bebeklerinde hiperkalsemi riski vardır.</w:t>
      </w:r>
    </w:p>
    <w:p w:rsidR="002D387C" w:rsidRPr="003A7448" w:rsidRDefault="002D387C" w:rsidP="009A6DDC">
      <w:pPr>
        <w:spacing w:line="276" w:lineRule="auto"/>
        <w:ind w:right="1"/>
        <w:jc w:val="both"/>
        <w:rPr>
          <w:rFonts w:ascii="Times New Roman" w:eastAsia="TimesNewRoman,Bold" w:hAnsi="Times New Roman" w:cs="Times New Roman"/>
          <w:bCs/>
          <w:sz w:val="24"/>
          <w:szCs w:val="24"/>
        </w:rPr>
      </w:pP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4.5.</w:t>
      </w:r>
      <w:r w:rsidR="000F1413" w:rsidRPr="003A7448">
        <w:rPr>
          <w:rFonts w:ascii="Times New Roman" w:hAnsi="Times New Roman" w:cs="Times New Roman"/>
          <w:b/>
          <w:sz w:val="24"/>
          <w:szCs w:val="24"/>
        </w:rPr>
        <w:t xml:space="preserve"> </w:t>
      </w:r>
      <w:r w:rsidRPr="003A7448">
        <w:rPr>
          <w:rFonts w:ascii="Times New Roman" w:hAnsi="Times New Roman" w:cs="Times New Roman"/>
          <w:b/>
          <w:sz w:val="24"/>
          <w:szCs w:val="24"/>
        </w:rPr>
        <w:t>Diğer tıbbi ürünler ile etkileşimler ve diğer etkileşim şekilleri</w:t>
      </w:r>
    </w:p>
    <w:p w:rsidR="00BD167E" w:rsidRPr="003A7448" w:rsidRDefault="00BD167E"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M</w:t>
      </w:r>
      <w:r w:rsidR="000D6929" w:rsidRPr="003A7448">
        <w:rPr>
          <w:rFonts w:ascii="Times New Roman" w:hAnsi="Times New Roman" w:cs="Times New Roman"/>
          <w:sz w:val="24"/>
          <w:szCs w:val="24"/>
        </w:rPr>
        <w:t>ineral yağlar D vitamininin emilimini azalt</w:t>
      </w:r>
      <w:r w:rsidRPr="003A7448">
        <w:rPr>
          <w:rFonts w:ascii="Times New Roman" w:hAnsi="Times New Roman" w:cs="Times New Roman"/>
          <w:sz w:val="24"/>
          <w:szCs w:val="24"/>
        </w:rPr>
        <w:t>arak</w:t>
      </w:r>
      <w:r w:rsidR="000D6929" w:rsidRPr="003A7448">
        <w:rPr>
          <w:rFonts w:ascii="Times New Roman" w:hAnsi="Times New Roman" w:cs="Times New Roman"/>
          <w:sz w:val="24"/>
          <w:szCs w:val="24"/>
        </w:rPr>
        <w:t xml:space="preserve">, </w:t>
      </w:r>
      <w:r w:rsidRPr="003A7448">
        <w:rPr>
          <w:rFonts w:ascii="Times New Roman" w:hAnsi="Times New Roman" w:cs="Times New Roman"/>
          <w:sz w:val="24"/>
          <w:szCs w:val="24"/>
        </w:rPr>
        <w:t>DEVİT-3’ün etkisini azaltırlar.</w:t>
      </w:r>
    </w:p>
    <w:p w:rsidR="00E928B0" w:rsidRPr="003A7448" w:rsidRDefault="00BD167E" w:rsidP="009A6DDC">
      <w:pPr>
        <w:shd w:val="clear" w:color="auto" w:fill="FFFFFF"/>
        <w:spacing w:line="276" w:lineRule="auto"/>
        <w:ind w:right="1"/>
        <w:jc w:val="both"/>
        <w:rPr>
          <w:rFonts w:ascii="Times New Roman" w:eastAsia="TimesNewRoman,Bold" w:hAnsi="Times New Roman" w:cs="Times New Roman"/>
          <w:bCs/>
          <w:sz w:val="24"/>
          <w:szCs w:val="24"/>
        </w:rPr>
      </w:pPr>
      <w:r w:rsidRPr="003A7448">
        <w:rPr>
          <w:rFonts w:ascii="Times New Roman" w:hAnsi="Times New Roman" w:cs="Times New Roman"/>
          <w:sz w:val="24"/>
          <w:szCs w:val="24"/>
        </w:rPr>
        <w:t>F</w:t>
      </w:r>
      <w:r w:rsidR="000D6929" w:rsidRPr="003A7448">
        <w:rPr>
          <w:rFonts w:ascii="Times New Roman" w:hAnsi="Times New Roman" w:cs="Times New Roman"/>
          <w:sz w:val="24"/>
          <w:szCs w:val="24"/>
        </w:rPr>
        <w:t>enitoin</w:t>
      </w:r>
      <w:r w:rsidRPr="003A7448">
        <w:rPr>
          <w:rFonts w:ascii="Times New Roman" w:hAnsi="Times New Roman" w:cs="Times New Roman"/>
          <w:sz w:val="24"/>
          <w:szCs w:val="24"/>
        </w:rPr>
        <w:t>,</w:t>
      </w:r>
      <w:r w:rsidR="000D6929" w:rsidRPr="003A7448">
        <w:rPr>
          <w:rFonts w:ascii="Times New Roman" w:hAnsi="Times New Roman" w:cs="Times New Roman"/>
          <w:sz w:val="24"/>
          <w:szCs w:val="24"/>
        </w:rPr>
        <w:t xml:space="preserve"> barbitüratlar</w:t>
      </w:r>
      <w:r w:rsidRPr="003A7448">
        <w:rPr>
          <w:rFonts w:ascii="Times New Roman" w:hAnsi="Times New Roman" w:cs="Times New Roman"/>
          <w:sz w:val="24"/>
          <w:szCs w:val="24"/>
        </w:rPr>
        <w:t xml:space="preserve"> ve r</w:t>
      </w:r>
      <w:r w:rsidR="00E928B0" w:rsidRPr="003A7448">
        <w:rPr>
          <w:rFonts w:ascii="Times New Roman" w:eastAsia="TimesNewRoman,Bold" w:hAnsi="Times New Roman" w:cs="Times New Roman"/>
          <w:bCs/>
          <w:sz w:val="24"/>
          <w:szCs w:val="24"/>
        </w:rPr>
        <w:t>ifampisin, h</w:t>
      </w:r>
      <w:r w:rsidR="003E64B8" w:rsidRPr="003A7448">
        <w:rPr>
          <w:rFonts w:ascii="Times New Roman" w:eastAsia="TimesNewRoman,Bold" w:hAnsi="Times New Roman" w:cs="Times New Roman"/>
          <w:bCs/>
          <w:sz w:val="24"/>
          <w:szCs w:val="24"/>
        </w:rPr>
        <w:t>epatik mikrozomal enzim indüksiyonu yap</w:t>
      </w:r>
      <w:r w:rsidR="00E928B0" w:rsidRPr="003A7448">
        <w:rPr>
          <w:rFonts w:ascii="Times New Roman" w:eastAsia="TimesNewRoman,Bold" w:hAnsi="Times New Roman" w:cs="Times New Roman"/>
          <w:bCs/>
          <w:sz w:val="24"/>
          <w:szCs w:val="24"/>
        </w:rPr>
        <w:t xml:space="preserve">tığından </w:t>
      </w:r>
      <w:r w:rsidR="003E64B8" w:rsidRPr="003A7448">
        <w:rPr>
          <w:rFonts w:ascii="Times New Roman" w:eastAsia="TimesNewRoman,Bold" w:hAnsi="Times New Roman" w:cs="Times New Roman"/>
          <w:bCs/>
          <w:sz w:val="24"/>
          <w:szCs w:val="24"/>
        </w:rPr>
        <w:t>D</w:t>
      </w:r>
      <w:r w:rsidR="00E928B0" w:rsidRPr="003A7448">
        <w:rPr>
          <w:rFonts w:ascii="Times New Roman" w:eastAsia="TimesNewRoman,Bold" w:hAnsi="Times New Roman" w:cs="Times New Roman"/>
          <w:bCs/>
          <w:sz w:val="24"/>
          <w:szCs w:val="24"/>
          <w:vertAlign w:val="subscript"/>
        </w:rPr>
        <w:t>3</w:t>
      </w:r>
      <w:r w:rsidR="003E64B8" w:rsidRPr="003A7448">
        <w:rPr>
          <w:rFonts w:ascii="Times New Roman" w:eastAsia="TimesNewRoman,Bold" w:hAnsi="Times New Roman" w:cs="Times New Roman"/>
          <w:bCs/>
          <w:sz w:val="24"/>
          <w:szCs w:val="24"/>
        </w:rPr>
        <w:t xml:space="preserve"> </w:t>
      </w:r>
      <w:r w:rsidR="00820B42" w:rsidRPr="003A7448">
        <w:rPr>
          <w:rFonts w:ascii="Times New Roman" w:eastAsia="TimesNewRoman,Bold" w:hAnsi="Times New Roman" w:cs="Times New Roman"/>
          <w:bCs/>
          <w:sz w:val="24"/>
          <w:szCs w:val="24"/>
        </w:rPr>
        <w:t xml:space="preserve">vitamininin </w:t>
      </w:r>
      <w:r w:rsidR="00E928B0" w:rsidRPr="003A7448">
        <w:rPr>
          <w:rFonts w:ascii="Times New Roman" w:eastAsia="TimesNewRoman,Bold" w:hAnsi="Times New Roman" w:cs="Times New Roman"/>
          <w:bCs/>
          <w:sz w:val="24"/>
          <w:szCs w:val="24"/>
        </w:rPr>
        <w:t>etki</w:t>
      </w:r>
      <w:r w:rsidRPr="003A7448">
        <w:rPr>
          <w:rFonts w:ascii="Times New Roman" w:eastAsia="TimesNewRoman,Bold" w:hAnsi="Times New Roman" w:cs="Times New Roman"/>
          <w:bCs/>
          <w:sz w:val="24"/>
          <w:szCs w:val="24"/>
        </w:rPr>
        <w:t>li</w:t>
      </w:r>
      <w:r w:rsidR="00E928B0" w:rsidRPr="003A7448">
        <w:rPr>
          <w:rFonts w:ascii="Times New Roman" w:eastAsia="TimesNewRoman,Bold" w:hAnsi="Times New Roman" w:cs="Times New Roman"/>
          <w:bCs/>
          <w:sz w:val="24"/>
          <w:szCs w:val="24"/>
        </w:rPr>
        <w:t xml:space="preserve">liğini azaltabilir. </w:t>
      </w:r>
    </w:p>
    <w:p w:rsidR="00E928B0" w:rsidRPr="003A7448" w:rsidRDefault="00BD167E"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İzoni</w:t>
      </w:r>
      <w:r w:rsidR="00820B42" w:rsidRPr="003A7448">
        <w:rPr>
          <w:rFonts w:ascii="Times New Roman" w:eastAsia="TimesNewRoman,Bold" w:hAnsi="Times New Roman" w:cs="Times New Roman"/>
          <w:bCs/>
          <w:sz w:val="24"/>
          <w:szCs w:val="24"/>
        </w:rPr>
        <w:t xml:space="preserve">azid, D vitamininin </w:t>
      </w:r>
      <w:r w:rsidR="00E928B0" w:rsidRPr="003A7448">
        <w:rPr>
          <w:rFonts w:ascii="Times New Roman" w:eastAsia="TimesNewRoman,Bold" w:hAnsi="Times New Roman" w:cs="Times New Roman"/>
          <w:bCs/>
          <w:sz w:val="24"/>
          <w:szCs w:val="24"/>
        </w:rPr>
        <w:t>metabolik aktivasyonunu kısıtlaması nedeniyle D</w:t>
      </w:r>
      <w:r w:rsidR="00E928B0" w:rsidRPr="003A7448">
        <w:rPr>
          <w:rFonts w:ascii="Times New Roman" w:eastAsia="TimesNewRoman,Bold" w:hAnsi="Times New Roman" w:cs="Times New Roman"/>
          <w:bCs/>
          <w:sz w:val="24"/>
          <w:szCs w:val="24"/>
          <w:vertAlign w:val="subscript"/>
        </w:rPr>
        <w:t>3</w:t>
      </w:r>
      <w:r w:rsidR="00E928B0" w:rsidRPr="003A7448">
        <w:rPr>
          <w:rFonts w:ascii="Times New Roman" w:eastAsia="TimesNewRoman,Bold" w:hAnsi="Times New Roman" w:cs="Times New Roman"/>
          <w:bCs/>
          <w:sz w:val="24"/>
          <w:szCs w:val="24"/>
        </w:rPr>
        <w:t xml:space="preserve"> </w:t>
      </w:r>
      <w:r w:rsidR="00820B42" w:rsidRPr="003A7448">
        <w:rPr>
          <w:rFonts w:ascii="Times New Roman" w:eastAsia="TimesNewRoman,Bold" w:hAnsi="Times New Roman" w:cs="Times New Roman"/>
          <w:bCs/>
          <w:sz w:val="24"/>
          <w:szCs w:val="24"/>
        </w:rPr>
        <w:t xml:space="preserve">vitamininin </w:t>
      </w:r>
      <w:r w:rsidR="00640DA7" w:rsidRPr="003A7448">
        <w:rPr>
          <w:rFonts w:ascii="Times New Roman" w:eastAsia="TimesNewRoman,Bold" w:hAnsi="Times New Roman" w:cs="Times New Roman"/>
          <w:bCs/>
          <w:sz w:val="24"/>
          <w:szCs w:val="24"/>
        </w:rPr>
        <w:t>etki</w:t>
      </w:r>
      <w:r w:rsidR="00E928B0" w:rsidRPr="003A7448">
        <w:rPr>
          <w:rFonts w:ascii="Times New Roman" w:eastAsia="TimesNewRoman,Bold" w:hAnsi="Times New Roman" w:cs="Times New Roman"/>
          <w:bCs/>
          <w:sz w:val="24"/>
          <w:szCs w:val="24"/>
        </w:rPr>
        <w:t>liliğini azaltabilir.</w:t>
      </w:r>
    </w:p>
    <w:p w:rsidR="00621A66" w:rsidRPr="003A7448" w:rsidRDefault="00621A66" w:rsidP="009A6DDC">
      <w:pPr>
        <w:spacing w:line="276" w:lineRule="auto"/>
        <w:ind w:right="1"/>
        <w:jc w:val="both"/>
        <w:rPr>
          <w:rFonts w:ascii="Times New Roman" w:eastAsia="TimesNewRoman,Bold" w:hAnsi="Times New Roman" w:cs="Times New Roman"/>
          <w:bCs/>
          <w:sz w:val="24"/>
          <w:szCs w:val="24"/>
        </w:rPr>
      </w:pPr>
    </w:p>
    <w:p w:rsidR="00E928B0" w:rsidRPr="003A7448" w:rsidRDefault="00E928B0"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Kardiyak glikozidleri ile tedavi edilen hastalar, yüksek kalsiyum seviyelerine karşı duyarlı olabilir ve bu nedenle bu hastaların EKG parametreleri ve kalsiyum seviyeleri mutlaka izlenmelidir.</w:t>
      </w:r>
    </w:p>
    <w:p w:rsidR="00E928B0" w:rsidRPr="003A7448" w:rsidRDefault="003500A2"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Benzotiyadiazin türevleri (tiyazid diüretikleri) ile birlikte kullanılması hiperkalsemi riskini arttırır. İdrarda kalsiyum kaybını azalt</w:t>
      </w:r>
      <w:r w:rsidR="00640DA7" w:rsidRPr="003A7448">
        <w:rPr>
          <w:rFonts w:ascii="Times New Roman" w:eastAsia="TimesNewRoman,Bold" w:hAnsi="Times New Roman" w:cs="Times New Roman"/>
          <w:bCs/>
          <w:sz w:val="24"/>
          <w:szCs w:val="24"/>
        </w:rPr>
        <w:t>tıkları için</w:t>
      </w:r>
      <w:r w:rsidR="00BE0900" w:rsidRPr="003A7448">
        <w:rPr>
          <w:rFonts w:ascii="Times New Roman" w:eastAsia="TimesNewRoman,Bold" w:hAnsi="Times New Roman" w:cs="Times New Roman"/>
          <w:bCs/>
          <w:sz w:val="24"/>
          <w:szCs w:val="24"/>
        </w:rPr>
        <w:t xml:space="preserve"> uzun bir tedavi süresince plazma ve idrar kalsiyum düzeyleri kontrol altında tutulmalıdır. </w:t>
      </w:r>
    </w:p>
    <w:p w:rsidR="00621A66" w:rsidRPr="003A7448" w:rsidRDefault="00621A66" w:rsidP="009A6DDC">
      <w:pPr>
        <w:spacing w:line="276" w:lineRule="auto"/>
        <w:ind w:right="1"/>
        <w:jc w:val="both"/>
        <w:rPr>
          <w:rFonts w:ascii="Times New Roman" w:eastAsia="TimesNewRoman,Bold" w:hAnsi="Times New Roman" w:cs="Times New Roman"/>
          <w:bCs/>
          <w:sz w:val="24"/>
          <w:szCs w:val="24"/>
        </w:rPr>
      </w:pPr>
    </w:p>
    <w:p w:rsidR="00820B42" w:rsidRPr="003A7448" w:rsidRDefault="00820B42"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D</w:t>
      </w:r>
      <w:r w:rsidRPr="003A7448">
        <w:rPr>
          <w:rFonts w:ascii="Times New Roman" w:eastAsia="TimesNewRoman,Bold" w:hAnsi="Times New Roman" w:cs="Times New Roman"/>
          <w:bCs/>
          <w:sz w:val="24"/>
          <w:szCs w:val="24"/>
          <w:vertAlign w:val="subscript"/>
        </w:rPr>
        <w:t>3</w:t>
      </w:r>
      <w:r w:rsidRPr="003A7448">
        <w:rPr>
          <w:rFonts w:ascii="Times New Roman" w:eastAsia="TimesNewRoman,Bold" w:hAnsi="Times New Roman" w:cs="Times New Roman"/>
          <w:bCs/>
          <w:sz w:val="24"/>
          <w:szCs w:val="24"/>
        </w:rPr>
        <w:t xml:space="preserve"> vitamini, aluminyumun bağırsaktan emilimini azaltabilir.</w:t>
      </w:r>
    </w:p>
    <w:p w:rsidR="00820B42" w:rsidRPr="003A7448" w:rsidRDefault="00820B42"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D</w:t>
      </w:r>
      <w:r w:rsidRPr="003A7448">
        <w:rPr>
          <w:rFonts w:ascii="Times New Roman" w:eastAsia="TimesNewRoman,Bold" w:hAnsi="Times New Roman" w:cs="Times New Roman"/>
          <w:bCs/>
          <w:sz w:val="24"/>
          <w:szCs w:val="24"/>
          <w:vertAlign w:val="subscript"/>
        </w:rPr>
        <w:t>3</w:t>
      </w:r>
      <w:r w:rsidRPr="003A7448">
        <w:rPr>
          <w:rFonts w:ascii="Times New Roman" w:eastAsia="TimesNewRoman,Bold" w:hAnsi="Times New Roman" w:cs="Times New Roman"/>
          <w:bCs/>
          <w:sz w:val="24"/>
          <w:szCs w:val="24"/>
        </w:rPr>
        <w:t xml:space="preserve"> Vitamin ile D vitamini metabolitleri veya analogları birlikte kullanılırsa </w:t>
      </w:r>
      <w:r w:rsidR="00BE0900" w:rsidRPr="003A7448">
        <w:rPr>
          <w:rFonts w:ascii="Times New Roman" w:eastAsia="TimesNewRoman,Bold" w:hAnsi="Times New Roman" w:cs="Times New Roman"/>
          <w:bCs/>
          <w:sz w:val="24"/>
          <w:szCs w:val="24"/>
        </w:rPr>
        <w:t>serum kalsiyum düzeyleri dikkatlice izlenmelidir.</w:t>
      </w:r>
    </w:p>
    <w:p w:rsidR="00621A66" w:rsidRPr="003A7448" w:rsidRDefault="00621A66" w:rsidP="009A6DDC">
      <w:pPr>
        <w:spacing w:line="276" w:lineRule="auto"/>
        <w:ind w:right="1"/>
        <w:jc w:val="both"/>
        <w:rPr>
          <w:rFonts w:ascii="Times New Roman" w:eastAsia="TimesNewRoman,Bold" w:hAnsi="Times New Roman" w:cs="Times New Roman"/>
          <w:bCs/>
          <w:sz w:val="24"/>
          <w:szCs w:val="24"/>
        </w:rPr>
      </w:pPr>
    </w:p>
    <w:p w:rsidR="00BE0900" w:rsidRPr="003A7448" w:rsidRDefault="00BE0900"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Yağ malabsorpsiyonuna neden olabilen, orlistat ve kolest</w:t>
      </w:r>
      <w:r w:rsidR="009F7118" w:rsidRPr="003A7448">
        <w:rPr>
          <w:rFonts w:ascii="Times New Roman" w:eastAsia="TimesNewRoman,Bold" w:hAnsi="Times New Roman" w:cs="Times New Roman"/>
          <w:bCs/>
          <w:sz w:val="24"/>
          <w:szCs w:val="24"/>
        </w:rPr>
        <w:t>i</w:t>
      </w:r>
      <w:r w:rsidRPr="003A7448">
        <w:rPr>
          <w:rFonts w:ascii="Times New Roman" w:eastAsia="TimesNewRoman,Bold" w:hAnsi="Times New Roman" w:cs="Times New Roman"/>
          <w:bCs/>
          <w:sz w:val="24"/>
          <w:szCs w:val="24"/>
        </w:rPr>
        <w:t>ramin gibi ilaçlar D vitamini absorpsiyonunu azaltabilir.</w:t>
      </w:r>
    </w:p>
    <w:p w:rsidR="00BE0900" w:rsidRPr="003A7448" w:rsidRDefault="00BE0900"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Glukokortikoidler ile birlikte kullanılması, D</w:t>
      </w:r>
      <w:r w:rsidRPr="003A7448">
        <w:rPr>
          <w:rFonts w:ascii="Times New Roman" w:eastAsia="TimesNewRoman,Bold" w:hAnsi="Times New Roman" w:cs="Times New Roman"/>
          <w:bCs/>
          <w:sz w:val="24"/>
          <w:szCs w:val="24"/>
          <w:vertAlign w:val="subscript"/>
        </w:rPr>
        <w:t>3</w:t>
      </w:r>
      <w:r w:rsidRPr="003A7448">
        <w:rPr>
          <w:rFonts w:ascii="Times New Roman" w:eastAsia="TimesNewRoman,Bold" w:hAnsi="Times New Roman" w:cs="Times New Roman"/>
          <w:bCs/>
          <w:sz w:val="24"/>
          <w:szCs w:val="24"/>
        </w:rPr>
        <w:t xml:space="preserve"> vitamininin etkisini azaltabilir.  </w:t>
      </w:r>
    </w:p>
    <w:p w:rsidR="00621A66" w:rsidRPr="003A7448" w:rsidRDefault="00621A66" w:rsidP="009A6DDC">
      <w:pPr>
        <w:spacing w:line="276" w:lineRule="auto"/>
        <w:ind w:right="1"/>
        <w:jc w:val="both"/>
        <w:rPr>
          <w:rFonts w:ascii="Times New Roman" w:eastAsia="TimesNewRoman,Bold" w:hAnsi="Times New Roman" w:cs="Times New Roman"/>
          <w:b/>
          <w:bCs/>
          <w:sz w:val="24"/>
          <w:szCs w:val="24"/>
        </w:rPr>
      </w:pPr>
    </w:p>
    <w:p w:rsidR="003E64B8" w:rsidRPr="003A7448" w:rsidRDefault="003E64B8" w:rsidP="009A6DDC">
      <w:pPr>
        <w:spacing w:line="276" w:lineRule="auto"/>
        <w:ind w:right="1"/>
        <w:jc w:val="both"/>
        <w:rPr>
          <w:rFonts w:ascii="Times New Roman" w:eastAsia="TimesNewRoman,Bold" w:hAnsi="Times New Roman" w:cs="Times New Roman"/>
          <w:b/>
          <w:bCs/>
          <w:sz w:val="24"/>
          <w:szCs w:val="24"/>
        </w:rPr>
      </w:pPr>
      <w:r w:rsidRPr="003A7448">
        <w:rPr>
          <w:rFonts w:ascii="Times New Roman" w:eastAsia="TimesNewRoman,Bold" w:hAnsi="Times New Roman" w:cs="Times New Roman"/>
          <w:b/>
          <w:bCs/>
          <w:sz w:val="24"/>
          <w:szCs w:val="24"/>
        </w:rPr>
        <w:t>Özel popülasyonlara ilişkin ek bilgiler:</w:t>
      </w:r>
    </w:p>
    <w:p w:rsidR="003E64B8" w:rsidRPr="003A7448" w:rsidRDefault="003E64B8"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Etkileşim çalışması bulunmamaktadır.</w:t>
      </w:r>
    </w:p>
    <w:p w:rsidR="003E64B8" w:rsidRPr="003A7448" w:rsidRDefault="003E64B8" w:rsidP="009A6DDC">
      <w:pPr>
        <w:spacing w:line="276" w:lineRule="auto"/>
        <w:ind w:right="1"/>
        <w:jc w:val="both"/>
        <w:rPr>
          <w:rFonts w:ascii="Times New Roman" w:eastAsia="TimesNewRoman,Bold" w:hAnsi="Times New Roman" w:cs="Times New Roman"/>
          <w:b/>
          <w:bCs/>
          <w:sz w:val="24"/>
          <w:szCs w:val="24"/>
        </w:rPr>
      </w:pPr>
      <w:r w:rsidRPr="003A7448">
        <w:rPr>
          <w:rFonts w:ascii="Times New Roman" w:eastAsia="TimesNewRoman,Bold" w:hAnsi="Times New Roman" w:cs="Times New Roman"/>
          <w:b/>
          <w:bCs/>
          <w:sz w:val="24"/>
          <w:szCs w:val="24"/>
        </w:rPr>
        <w:t>Pediyatrik popülasyon:</w:t>
      </w:r>
    </w:p>
    <w:p w:rsidR="003E64B8" w:rsidRPr="003A7448" w:rsidRDefault="003E64B8"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Etkileşim çalışması bulunmamaktadır.</w:t>
      </w:r>
    </w:p>
    <w:p w:rsidR="00621A66" w:rsidRPr="003A7448" w:rsidRDefault="00621A66" w:rsidP="009A6DDC">
      <w:pPr>
        <w:shd w:val="clear" w:color="auto" w:fill="FFFFFF"/>
        <w:spacing w:line="276" w:lineRule="auto"/>
        <w:ind w:right="1"/>
        <w:jc w:val="both"/>
        <w:rPr>
          <w:rFonts w:ascii="Times New Roman" w:hAnsi="Times New Roman" w:cs="Times New Roman"/>
          <w:sz w:val="24"/>
          <w:szCs w:val="24"/>
        </w:rPr>
      </w:pP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lastRenderedPageBreak/>
        <w:t>4.6.</w:t>
      </w:r>
      <w:r w:rsidR="000F1413" w:rsidRPr="003A7448">
        <w:rPr>
          <w:rFonts w:ascii="Times New Roman" w:hAnsi="Times New Roman" w:cs="Times New Roman"/>
          <w:b/>
          <w:sz w:val="24"/>
          <w:szCs w:val="24"/>
        </w:rPr>
        <w:t xml:space="preserve"> </w:t>
      </w:r>
      <w:r w:rsidRPr="003A7448">
        <w:rPr>
          <w:rFonts w:ascii="Times New Roman" w:hAnsi="Times New Roman" w:cs="Times New Roman"/>
          <w:b/>
          <w:sz w:val="24"/>
          <w:szCs w:val="24"/>
        </w:rPr>
        <w:t>Gebelik ve laktasyon</w:t>
      </w:r>
    </w:p>
    <w:p w:rsidR="00E766C8" w:rsidRPr="003A7448" w:rsidRDefault="00E766C8" w:rsidP="009A6DDC">
      <w:pPr>
        <w:spacing w:line="276" w:lineRule="auto"/>
        <w:ind w:right="1"/>
        <w:jc w:val="both"/>
        <w:rPr>
          <w:rFonts w:ascii="Times New Roman" w:eastAsia="TimesNewRoman,Bold" w:hAnsi="Times New Roman" w:cs="Times New Roman"/>
          <w:b/>
          <w:bCs/>
          <w:sz w:val="24"/>
          <w:szCs w:val="24"/>
        </w:rPr>
      </w:pPr>
      <w:r w:rsidRPr="003A7448">
        <w:rPr>
          <w:rFonts w:ascii="Times New Roman" w:eastAsia="TimesNewRoman,Bold" w:hAnsi="Times New Roman" w:cs="Times New Roman"/>
          <w:b/>
          <w:bCs/>
          <w:sz w:val="24"/>
          <w:szCs w:val="24"/>
        </w:rPr>
        <w:t>Genel tavsiye</w:t>
      </w:r>
    </w:p>
    <w:p w:rsidR="00F36EF2" w:rsidRPr="003A7448" w:rsidRDefault="005358AD"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Gebelik kategorisi</w:t>
      </w:r>
      <w:r w:rsidR="008F7994" w:rsidRPr="003A7448">
        <w:rPr>
          <w:rFonts w:ascii="Times New Roman" w:eastAsia="TimesNewRoman,Bold" w:hAnsi="Times New Roman" w:cs="Times New Roman"/>
          <w:bCs/>
          <w:sz w:val="24"/>
          <w:szCs w:val="24"/>
        </w:rPr>
        <w:t xml:space="preserve"> </w:t>
      </w:r>
      <w:r w:rsidR="00F36EF2" w:rsidRPr="003A7448">
        <w:rPr>
          <w:rFonts w:ascii="Times New Roman" w:eastAsia="TimesNewRoman,Bold" w:hAnsi="Times New Roman" w:cs="Times New Roman"/>
          <w:bCs/>
          <w:sz w:val="24"/>
          <w:szCs w:val="24"/>
        </w:rPr>
        <w:t>C’dir.</w:t>
      </w:r>
    </w:p>
    <w:p w:rsidR="00621A66" w:rsidRPr="003A7448" w:rsidRDefault="00621A66" w:rsidP="009A6DDC">
      <w:pPr>
        <w:spacing w:line="276" w:lineRule="auto"/>
        <w:ind w:right="1"/>
        <w:jc w:val="both"/>
        <w:rPr>
          <w:rFonts w:ascii="Times New Roman" w:eastAsia="TimesNewRoman,Bold" w:hAnsi="Times New Roman" w:cs="Times New Roman"/>
          <w:b/>
          <w:bCs/>
          <w:sz w:val="24"/>
          <w:szCs w:val="24"/>
        </w:rPr>
      </w:pPr>
    </w:p>
    <w:p w:rsidR="00BE0900" w:rsidRPr="003A7448" w:rsidRDefault="00BE0900" w:rsidP="009A6DDC">
      <w:pPr>
        <w:spacing w:line="276" w:lineRule="auto"/>
        <w:ind w:right="1"/>
        <w:jc w:val="both"/>
        <w:rPr>
          <w:rFonts w:ascii="Times New Roman" w:eastAsia="TimesNewRoman,Bold" w:hAnsi="Times New Roman" w:cs="Times New Roman"/>
          <w:b/>
          <w:bCs/>
          <w:sz w:val="24"/>
          <w:szCs w:val="24"/>
        </w:rPr>
      </w:pPr>
      <w:r w:rsidRPr="003A7448">
        <w:rPr>
          <w:rFonts w:ascii="Times New Roman" w:eastAsia="TimesNewRoman,Bold" w:hAnsi="Times New Roman" w:cs="Times New Roman"/>
          <w:b/>
          <w:bCs/>
          <w:sz w:val="24"/>
          <w:szCs w:val="24"/>
        </w:rPr>
        <w:t>Çocuk doğurma potansiyeli bulunan kadınlar/Doğum kontrolü (Kontrasepsiyon)</w:t>
      </w:r>
    </w:p>
    <w:p w:rsidR="00BE0900" w:rsidRPr="003A7448" w:rsidRDefault="00BE0900"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Doğum kontrolü ile ilgili veri yoktur.</w:t>
      </w:r>
    </w:p>
    <w:p w:rsidR="00621A66" w:rsidRPr="003A7448" w:rsidRDefault="00621A66" w:rsidP="009A6DDC">
      <w:pPr>
        <w:spacing w:line="276" w:lineRule="auto"/>
        <w:ind w:right="1"/>
        <w:jc w:val="both"/>
        <w:rPr>
          <w:rFonts w:ascii="Times New Roman" w:eastAsia="TimesNewRoman,Bold" w:hAnsi="Times New Roman" w:cs="Times New Roman"/>
          <w:b/>
          <w:bCs/>
          <w:sz w:val="24"/>
          <w:szCs w:val="24"/>
        </w:rPr>
      </w:pPr>
    </w:p>
    <w:p w:rsidR="00BE0900" w:rsidRPr="003A7448" w:rsidRDefault="00BE0900" w:rsidP="009A6DDC">
      <w:pPr>
        <w:spacing w:line="276" w:lineRule="auto"/>
        <w:ind w:right="1"/>
        <w:jc w:val="both"/>
        <w:rPr>
          <w:rFonts w:ascii="Times New Roman" w:eastAsia="TimesNewRoman,Bold" w:hAnsi="Times New Roman" w:cs="Times New Roman"/>
          <w:b/>
          <w:bCs/>
          <w:sz w:val="24"/>
          <w:szCs w:val="24"/>
        </w:rPr>
      </w:pPr>
      <w:r w:rsidRPr="003A7448">
        <w:rPr>
          <w:rFonts w:ascii="Times New Roman" w:eastAsia="TimesNewRoman,Bold" w:hAnsi="Times New Roman" w:cs="Times New Roman"/>
          <w:b/>
          <w:bCs/>
          <w:sz w:val="24"/>
          <w:szCs w:val="24"/>
        </w:rPr>
        <w:t>Gebelik dönemi</w:t>
      </w:r>
    </w:p>
    <w:p w:rsidR="00BE0900" w:rsidRPr="003A7448" w:rsidRDefault="00BE0900"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Kolekalsiferol’ün gebelikte kullanımına ilişkin klinik bilgi mevcut değildir. Hayvanlar üzerinde yapılan çalışmalar, gebelik /ve-veya/ embriyonal/fetal gelişim /ve-veya/ doğum /ve-veya/ doğum sonrası gelişim üzerindeki etkiler bakımından yetersizdir. İnsanlara yönelik potansiyel risk bilinmemektedir.</w:t>
      </w:r>
    </w:p>
    <w:p w:rsidR="00C975BA" w:rsidRPr="003A7448" w:rsidRDefault="00BE0900"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DEVİT-3 gerekli olmadıkça gebelik döneminde kullanılmamalıdır.</w:t>
      </w:r>
    </w:p>
    <w:p w:rsidR="005A5A5E" w:rsidRPr="003A7448" w:rsidRDefault="005A5A5E" w:rsidP="009A6DDC">
      <w:pPr>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 xml:space="preserve">Gebelikte önerilen D vitamini günlük doz 600 I.U.’dir. Günlük maksimum tolere edilebilen doz ise 4000 IU’dir. Hamile kadınlarda, gerekliyse (D vitamini eksikliği varsa), doktor tavsiyesi ile uygun dozda kullanılabilir. </w:t>
      </w:r>
    </w:p>
    <w:p w:rsidR="005A5A5E" w:rsidRPr="003A7448" w:rsidRDefault="005A5A5E"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Uygulanan dozlarda güvenliliği bilinmediğinden gebelik sırasında kullanmaktan kaçınılmalıdır.</w:t>
      </w:r>
    </w:p>
    <w:p w:rsidR="00621A66" w:rsidRPr="003A7448" w:rsidRDefault="00621A66" w:rsidP="009A6DDC">
      <w:pPr>
        <w:spacing w:line="276" w:lineRule="auto"/>
        <w:ind w:right="1"/>
        <w:jc w:val="both"/>
        <w:rPr>
          <w:rFonts w:ascii="Times New Roman" w:eastAsia="TimesNewRoman,Bold" w:hAnsi="Times New Roman" w:cs="Times New Roman"/>
          <w:b/>
          <w:bCs/>
          <w:sz w:val="24"/>
          <w:szCs w:val="24"/>
        </w:rPr>
      </w:pPr>
    </w:p>
    <w:p w:rsidR="00BE0900" w:rsidRPr="003A7448" w:rsidRDefault="00BE0900" w:rsidP="009A6DDC">
      <w:pPr>
        <w:spacing w:line="276" w:lineRule="auto"/>
        <w:ind w:right="1"/>
        <w:jc w:val="both"/>
        <w:rPr>
          <w:rFonts w:ascii="Times New Roman" w:eastAsia="TimesNewRoman,Bold" w:hAnsi="Times New Roman" w:cs="Times New Roman"/>
          <w:b/>
          <w:bCs/>
          <w:sz w:val="24"/>
          <w:szCs w:val="24"/>
        </w:rPr>
      </w:pPr>
      <w:r w:rsidRPr="003A7448">
        <w:rPr>
          <w:rFonts w:ascii="Times New Roman" w:eastAsia="TimesNewRoman,Bold" w:hAnsi="Times New Roman" w:cs="Times New Roman"/>
          <w:b/>
          <w:bCs/>
          <w:sz w:val="24"/>
          <w:szCs w:val="24"/>
        </w:rPr>
        <w:t>Laktasyon dönemi</w:t>
      </w:r>
    </w:p>
    <w:p w:rsidR="00BE0900" w:rsidRPr="003A7448" w:rsidRDefault="00BE0900"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 xml:space="preserve">İnsan sütünde vitamin D metabolitlerinin </w:t>
      </w:r>
      <w:r w:rsidR="00066D97" w:rsidRPr="003A7448">
        <w:rPr>
          <w:rFonts w:ascii="Times New Roman" w:eastAsia="TimesNewRoman,Bold" w:hAnsi="Times New Roman" w:cs="Times New Roman"/>
          <w:bCs/>
          <w:sz w:val="24"/>
          <w:szCs w:val="24"/>
        </w:rPr>
        <w:t>küçük bir miktarı görülür. Yalnızca anne sütü ile beslenen ve güneş ışınları ile çok az temas eden bebeklere vitamin D desteği yapmak gerekebilir.</w:t>
      </w:r>
    </w:p>
    <w:p w:rsidR="00066D97" w:rsidRPr="003A7448" w:rsidRDefault="00066D97"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D vitamininin terapötik indeksi bebek ve çocuklarda oldukça düşüktür. Hiperkalsemi uzun sürerse bebeklerde mental ve fiziksel gelişmede gerilemenin yanı sıra konjenital kalp ve göz hastalıkları yapar. Farmakolojik dozda D vitamini alan emziren annelerin bebeklerinde hiperkalsemi riski vardır.</w:t>
      </w:r>
    </w:p>
    <w:p w:rsidR="00066D97" w:rsidRPr="003A7448" w:rsidRDefault="00066D97" w:rsidP="009A6DDC">
      <w:pPr>
        <w:spacing w:line="276" w:lineRule="auto"/>
        <w:ind w:right="1"/>
        <w:jc w:val="both"/>
        <w:rPr>
          <w:rFonts w:ascii="Times New Roman" w:eastAsia="TimesNewRoman,Bold" w:hAnsi="Times New Roman" w:cs="Times New Roman"/>
          <w:bCs/>
          <w:sz w:val="24"/>
          <w:szCs w:val="24"/>
        </w:rPr>
      </w:pPr>
    </w:p>
    <w:p w:rsidR="00BE0900" w:rsidRPr="003A7448" w:rsidRDefault="00BE0900" w:rsidP="009A6DDC">
      <w:pPr>
        <w:spacing w:line="276" w:lineRule="auto"/>
        <w:ind w:right="1"/>
        <w:jc w:val="both"/>
        <w:rPr>
          <w:rFonts w:ascii="Times New Roman" w:eastAsia="TimesNewRoman,Bold" w:hAnsi="Times New Roman" w:cs="Times New Roman"/>
          <w:b/>
          <w:bCs/>
          <w:sz w:val="24"/>
          <w:szCs w:val="24"/>
        </w:rPr>
      </w:pPr>
      <w:r w:rsidRPr="003A7448">
        <w:rPr>
          <w:rFonts w:ascii="Times New Roman" w:eastAsia="TimesNewRoman,Bold" w:hAnsi="Times New Roman" w:cs="Times New Roman"/>
          <w:b/>
          <w:bCs/>
          <w:sz w:val="24"/>
          <w:szCs w:val="24"/>
        </w:rPr>
        <w:t>Üreme yeteneği / Fertilite</w:t>
      </w:r>
    </w:p>
    <w:p w:rsidR="00BE0900" w:rsidRPr="003A7448" w:rsidRDefault="00BE0900"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Bilinen bir etkisi yoktur.</w:t>
      </w:r>
    </w:p>
    <w:p w:rsidR="002D387C" w:rsidRPr="003A7448" w:rsidRDefault="002D387C" w:rsidP="009A6DDC">
      <w:pPr>
        <w:spacing w:line="276" w:lineRule="auto"/>
        <w:ind w:right="1"/>
        <w:jc w:val="both"/>
        <w:rPr>
          <w:rFonts w:ascii="Times New Roman" w:eastAsia="TimesNewRoman,Bold" w:hAnsi="Times New Roman" w:cs="Times New Roman"/>
          <w:bCs/>
          <w:sz w:val="24"/>
          <w:szCs w:val="24"/>
        </w:rPr>
      </w:pP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4.7.</w:t>
      </w:r>
      <w:r w:rsidR="000F1413" w:rsidRPr="003A7448">
        <w:rPr>
          <w:rFonts w:ascii="Times New Roman" w:hAnsi="Times New Roman" w:cs="Times New Roman"/>
          <w:b/>
          <w:sz w:val="24"/>
          <w:szCs w:val="24"/>
        </w:rPr>
        <w:t xml:space="preserve"> </w:t>
      </w:r>
      <w:r w:rsidRPr="003A7448">
        <w:rPr>
          <w:rFonts w:ascii="Times New Roman" w:hAnsi="Times New Roman" w:cs="Times New Roman"/>
          <w:b/>
          <w:sz w:val="24"/>
          <w:szCs w:val="24"/>
        </w:rPr>
        <w:t>Araç ve makine kullanımı üzerindeki etkiler</w:t>
      </w:r>
    </w:p>
    <w:p w:rsidR="00C975BA" w:rsidRPr="003A7448" w:rsidRDefault="00C975BA"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Bilinen bir etkisi yoktur.</w:t>
      </w:r>
    </w:p>
    <w:p w:rsidR="002D387C" w:rsidRPr="003A7448" w:rsidRDefault="002D387C" w:rsidP="009A6DDC">
      <w:pPr>
        <w:shd w:val="clear" w:color="auto" w:fill="FFFFFF"/>
        <w:spacing w:line="276" w:lineRule="auto"/>
        <w:ind w:right="1"/>
        <w:jc w:val="both"/>
        <w:rPr>
          <w:rFonts w:ascii="Times New Roman" w:hAnsi="Times New Roman" w:cs="Times New Roman"/>
          <w:sz w:val="24"/>
          <w:szCs w:val="24"/>
        </w:rPr>
      </w:pP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4.8.</w:t>
      </w:r>
      <w:r w:rsidR="000F1413" w:rsidRPr="003A7448">
        <w:rPr>
          <w:rFonts w:ascii="Times New Roman" w:hAnsi="Times New Roman" w:cs="Times New Roman"/>
          <w:b/>
          <w:sz w:val="24"/>
          <w:szCs w:val="24"/>
        </w:rPr>
        <w:t xml:space="preserve"> </w:t>
      </w:r>
      <w:r w:rsidRPr="003A7448">
        <w:rPr>
          <w:rFonts w:ascii="Times New Roman" w:hAnsi="Times New Roman" w:cs="Times New Roman"/>
          <w:b/>
          <w:sz w:val="24"/>
          <w:szCs w:val="24"/>
        </w:rPr>
        <w:t>İstenmeyen etkiler</w:t>
      </w:r>
    </w:p>
    <w:p w:rsidR="00E766C8" w:rsidRPr="003A7448" w:rsidRDefault="00C975BA" w:rsidP="009A6DDC">
      <w:pPr>
        <w:spacing w:line="276" w:lineRule="auto"/>
        <w:ind w:right="1"/>
        <w:jc w:val="both"/>
        <w:rPr>
          <w:rFonts w:ascii="Times New Roman" w:hAnsi="Times New Roman" w:cs="Times New Roman"/>
          <w:sz w:val="24"/>
          <w:szCs w:val="24"/>
        </w:rPr>
      </w:pPr>
      <w:r w:rsidRPr="003A7448">
        <w:rPr>
          <w:rFonts w:ascii="Times New Roman" w:eastAsia="TimesNewRoman,Bold" w:hAnsi="Times New Roman" w:cs="Times New Roman"/>
          <w:bCs/>
          <w:sz w:val="24"/>
          <w:szCs w:val="24"/>
        </w:rPr>
        <w:t>İstenmeyen etkiler sistem-organ sınıfına göre şu esaslar kullanılarak sıralandırılmaktadır: Çok</w:t>
      </w:r>
      <w:r w:rsidR="00E766C8" w:rsidRPr="003A7448">
        <w:rPr>
          <w:rFonts w:ascii="Times New Roman" w:hAnsi="Times New Roman" w:cs="Times New Roman"/>
          <w:sz w:val="24"/>
          <w:szCs w:val="24"/>
        </w:rPr>
        <w:t xml:space="preserve"> yaygın (</w:t>
      </w:r>
      <w:r w:rsidR="00FF32DE" w:rsidRPr="003A7448">
        <w:rPr>
          <w:rFonts w:ascii="Times New Roman" w:hAnsi="Times New Roman" w:cs="Times New Roman"/>
          <w:sz w:val="24"/>
          <w:szCs w:val="24"/>
        </w:rPr>
        <w:t>≥</w:t>
      </w:r>
      <w:r w:rsidR="00E766C8" w:rsidRPr="003A7448">
        <w:rPr>
          <w:rFonts w:ascii="Times New Roman" w:hAnsi="Times New Roman" w:cs="Times New Roman"/>
          <w:sz w:val="24"/>
          <w:szCs w:val="24"/>
        </w:rPr>
        <w:t xml:space="preserve"> 1/10); yaygın (</w:t>
      </w:r>
      <w:r w:rsidR="00FF32DE" w:rsidRPr="003A7448">
        <w:rPr>
          <w:rFonts w:ascii="Times New Roman" w:hAnsi="Times New Roman" w:cs="Times New Roman"/>
          <w:sz w:val="24"/>
          <w:szCs w:val="24"/>
        </w:rPr>
        <w:t>≥</w:t>
      </w:r>
      <w:r w:rsidR="00E766C8" w:rsidRPr="003A7448">
        <w:rPr>
          <w:rFonts w:ascii="Times New Roman" w:hAnsi="Times New Roman" w:cs="Times New Roman"/>
          <w:sz w:val="24"/>
          <w:szCs w:val="24"/>
        </w:rPr>
        <w:t xml:space="preserve"> 1/100 ila &lt; 1/10); yaygın olmayan (</w:t>
      </w:r>
      <w:r w:rsidR="00FF32DE" w:rsidRPr="003A7448">
        <w:rPr>
          <w:rFonts w:ascii="Times New Roman" w:hAnsi="Times New Roman" w:cs="Times New Roman"/>
          <w:sz w:val="24"/>
          <w:szCs w:val="24"/>
        </w:rPr>
        <w:t>≥</w:t>
      </w:r>
      <w:r w:rsidR="00E766C8" w:rsidRPr="003A7448">
        <w:rPr>
          <w:rFonts w:ascii="Times New Roman" w:hAnsi="Times New Roman" w:cs="Times New Roman"/>
          <w:sz w:val="24"/>
          <w:szCs w:val="24"/>
        </w:rPr>
        <w:t xml:space="preserve"> 1/1.000 ila &lt; 1/100); seyrek (</w:t>
      </w:r>
      <w:r w:rsidR="00FF32DE" w:rsidRPr="003A7448">
        <w:rPr>
          <w:rFonts w:ascii="Times New Roman" w:hAnsi="Times New Roman" w:cs="Times New Roman"/>
          <w:sz w:val="24"/>
          <w:szCs w:val="24"/>
        </w:rPr>
        <w:t>≥</w:t>
      </w:r>
      <w:r w:rsidR="00E766C8" w:rsidRPr="003A7448">
        <w:rPr>
          <w:rFonts w:ascii="Times New Roman" w:hAnsi="Times New Roman" w:cs="Times New Roman"/>
          <w:sz w:val="24"/>
          <w:szCs w:val="24"/>
        </w:rPr>
        <w:t xml:space="preserve"> 1/10.000 ila &lt; 1/1.000); çok seyrek (</w:t>
      </w:r>
      <w:r w:rsidR="00FF32DE" w:rsidRPr="003A7448">
        <w:rPr>
          <w:rFonts w:ascii="Times New Roman" w:hAnsi="Times New Roman" w:cs="Times New Roman"/>
          <w:sz w:val="24"/>
          <w:szCs w:val="24"/>
        </w:rPr>
        <w:t xml:space="preserve">&lt; </w:t>
      </w:r>
      <w:r w:rsidR="00E766C8" w:rsidRPr="003A7448">
        <w:rPr>
          <w:rFonts w:ascii="Times New Roman" w:hAnsi="Times New Roman" w:cs="Times New Roman"/>
          <w:sz w:val="24"/>
          <w:szCs w:val="24"/>
        </w:rPr>
        <w:t>1/10.000), bilinmiyor (eldeki verilerden hareketle tahmin edilemiyor).</w:t>
      </w:r>
    </w:p>
    <w:p w:rsidR="00C975BA" w:rsidRPr="003A7448" w:rsidRDefault="00C975BA" w:rsidP="009A6DDC">
      <w:pPr>
        <w:spacing w:line="276" w:lineRule="auto"/>
        <w:ind w:right="1"/>
        <w:jc w:val="both"/>
        <w:rPr>
          <w:rFonts w:ascii="Times New Roman" w:eastAsia="TimesNewRoman,Bold" w:hAnsi="Times New Roman" w:cs="Times New Roman"/>
          <w:b/>
          <w:bCs/>
          <w:sz w:val="24"/>
          <w:szCs w:val="24"/>
        </w:rPr>
      </w:pPr>
      <w:r w:rsidRPr="003A7448">
        <w:rPr>
          <w:rFonts w:ascii="Times New Roman" w:eastAsia="TimesNewRoman,Bold" w:hAnsi="Times New Roman" w:cs="Times New Roman"/>
          <w:b/>
          <w:bCs/>
          <w:sz w:val="24"/>
          <w:szCs w:val="24"/>
        </w:rPr>
        <w:t>Metabolizma ve beslenme bozuklukları</w:t>
      </w:r>
    </w:p>
    <w:p w:rsidR="00C975BA" w:rsidRPr="003A7448" w:rsidRDefault="00C975BA"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 xml:space="preserve">Bilinmiyor: Hiperkalsüri, hiperkalsemi </w:t>
      </w:r>
    </w:p>
    <w:p w:rsidR="0058477E" w:rsidRPr="003A7448" w:rsidRDefault="0058477E" w:rsidP="009A6DDC">
      <w:pPr>
        <w:spacing w:line="276" w:lineRule="auto"/>
        <w:ind w:right="1"/>
        <w:jc w:val="both"/>
        <w:rPr>
          <w:rFonts w:ascii="Times New Roman" w:eastAsia="TimesNewRoman,Bold" w:hAnsi="Times New Roman" w:cs="Times New Roman"/>
          <w:b/>
          <w:bCs/>
          <w:sz w:val="24"/>
          <w:szCs w:val="24"/>
        </w:rPr>
      </w:pPr>
      <w:r w:rsidRPr="003A7448">
        <w:rPr>
          <w:rFonts w:ascii="Times New Roman" w:eastAsia="TimesNewRoman,Bold" w:hAnsi="Times New Roman" w:cs="Times New Roman"/>
          <w:b/>
          <w:bCs/>
          <w:sz w:val="24"/>
          <w:szCs w:val="24"/>
        </w:rPr>
        <w:t>Sinir sistemi hastalıkları</w:t>
      </w:r>
    </w:p>
    <w:p w:rsidR="0058477E" w:rsidRPr="003A7448" w:rsidRDefault="00C03BB2"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Bilinmiyor: Psişik semptomlar, bulanık şuur</w:t>
      </w:r>
    </w:p>
    <w:p w:rsidR="009A6DDC" w:rsidRPr="003A7448" w:rsidRDefault="009A6DDC" w:rsidP="009A6DDC">
      <w:pPr>
        <w:spacing w:line="276" w:lineRule="auto"/>
        <w:ind w:right="1"/>
        <w:jc w:val="both"/>
        <w:rPr>
          <w:rFonts w:ascii="Times New Roman" w:eastAsia="TimesNewRoman,Bold" w:hAnsi="Times New Roman" w:cs="Times New Roman"/>
          <w:b/>
          <w:bCs/>
          <w:sz w:val="24"/>
          <w:szCs w:val="24"/>
        </w:rPr>
      </w:pPr>
    </w:p>
    <w:p w:rsidR="00C03BB2" w:rsidRPr="003A7448" w:rsidRDefault="00C03BB2" w:rsidP="009A6DDC">
      <w:pPr>
        <w:spacing w:line="276" w:lineRule="auto"/>
        <w:ind w:right="1"/>
        <w:jc w:val="both"/>
        <w:rPr>
          <w:rFonts w:ascii="Times New Roman" w:eastAsia="TimesNewRoman,Bold" w:hAnsi="Times New Roman" w:cs="Times New Roman"/>
          <w:b/>
          <w:bCs/>
          <w:sz w:val="24"/>
          <w:szCs w:val="24"/>
        </w:rPr>
      </w:pPr>
      <w:r w:rsidRPr="003A7448">
        <w:rPr>
          <w:rFonts w:ascii="Times New Roman" w:eastAsia="TimesNewRoman,Bold" w:hAnsi="Times New Roman" w:cs="Times New Roman"/>
          <w:b/>
          <w:bCs/>
          <w:sz w:val="24"/>
          <w:szCs w:val="24"/>
        </w:rPr>
        <w:lastRenderedPageBreak/>
        <w:t>Kardiyak hastalıklar</w:t>
      </w:r>
    </w:p>
    <w:p w:rsidR="00C03BB2" w:rsidRPr="003A7448" w:rsidRDefault="00C03BB2"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Bilinmiyor: Aritmiler</w:t>
      </w:r>
    </w:p>
    <w:p w:rsidR="00C975BA" w:rsidRPr="003A7448" w:rsidRDefault="00C975BA" w:rsidP="009A6DDC">
      <w:pPr>
        <w:spacing w:line="276" w:lineRule="auto"/>
        <w:ind w:right="1"/>
        <w:jc w:val="both"/>
        <w:rPr>
          <w:rFonts w:ascii="Times New Roman" w:eastAsia="TimesNewRoman,Bold" w:hAnsi="Times New Roman" w:cs="Times New Roman"/>
          <w:b/>
          <w:bCs/>
          <w:sz w:val="24"/>
          <w:szCs w:val="24"/>
        </w:rPr>
      </w:pPr>
      <w:r w:rsidRPr="003A7448">
        <w:rPr>
          <w:rFonts w:ascii="Times New Roman" w:eastAsia="TimesNewRoman,Bold" w:hAnsi="Times New Roman" w:cs="Times New Roman"/>
          <w:b/>
          <w:bCs/>
          <w:sz w:val="24"/>
          <w:szCs w:val="24"/>
        </w:rPr>
        <w:t>Gastrointestinal bozukluklar</w:t>
      </w:r>
    </w:p>
    <w:p w:rsidR="00C975BA" w:rsidRPr="003A7448" w:rsidRDefault="00C975BA"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 xml:space="preserve">Bilinmiyor: </w:t>
      </w:r>
      <w:r w:rsidR="00F8343B" w:rsidRPr="003A7448">
        <w:rPr>
          <w:rFonts w:ascii="Times New Roman" w:eastAsia="TimesNewRoman,Bold" w:hAnsi="Times New Roman" w:cs="Times New Roman"/>
          <w:bCs/>
          <w:sz w:val="24"/>
          <w:szCs w:val="24"/>
        </w:rPr>
        <w:t xml:space="preserve">Bulantı, </w:t>
      </w:r>
      <w:r w:rsidR="00C03BB2" w:rsidRPr="003A7448">
        <w:rPr>
          <w:rFonts w:ascii="Times New Roman" w:eastAsia="TimesNewRoman,Bold" w:hAnsi="Times New Roman" w:cs="Times New Roman"/>
          <w:bCs/>
          <w:sz w:val="24"/>
          <w:szCs w:val="24"/>
        </w:rPr>
        <w:t>iştahsızlık, kilo kaybı</w:t>
      </w:r>
    </w:p>
    <w:p w:rsidR="00F8343B" w:rsidRPr="003A7448" w:rsidRDefault="00F8343B" w:rsidP="009A6DDC">
      <w:pPr>
        <w:spacing w:line="276" w:lineRule="auto"/>
        <w:ind w:right="1"/>
        <w:jc w:val="both"/>
        <w:rPr>
          <w:rFonts w:ascii="Times New Roman" w:eastAsia="TimesNewRoman,Bold" w:hAnsi="Times New Roman" w:cs="Times New Roman"/>
          <w:b/>
          <w:bCs/>
          <w:sz w:val="24"/>
          <w:szCs w:val="24"/>
        </w:rPr>
      </w:pPr>
      <w:r w:rsidRPr="003A7448">
        <w:rPr>
          <w:rFonts w:ascii="Times New Roman" w:eastAsia="TimesNewRoman,Bold" w:hAnsi="Times New Roman" w:cs="Times New Roman"/>
          <w:b/>
          <w:bCs/>
          <w:sz w:val="24"/>
          <w:szCs w:val="24"/>
        </w:rPr>
        <w:t>Böbrek ve idrar yolu hastalıkları</w:t>
      </w:r>
    </w:p>
    <w:p w:rsidR="00F8343B" w:rsidRPr="003A7448" w:rsidRDefault="00F8343B"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Bilinmiyor: Poliüri, anüri, polidipsi, böbrek taşı oluşumu, nefrokalsinozis</w:t>
      </w:r>
    </w:p>
    <w:p w:rsidR="00C975BA" w:rsidRPr="003A7448" w:rsidRDefault="00C975BA" w:rsidP="009A6DDC">
      <w:pPr>
        <w:spacing w:line="276" w:lineRule="auto"/>
        <w:ind w:right="1"/>
        <w:jc w:val="both"/>
        <w:rPr>
          <w:rFonts w:ascii="Times New Roman" w:eastAsia="TimesNewRoman,Bold" w:hAnsi="Times New Roman" w:cs="Times New Roman"/>
          <w:b/>
          <w:bCs/>
          <w:sz w:val="24"/>
          <w:szCs w:val="24"/>
        </w:rPr>
      </w:pPr>
      <w:r w:rsidRPr="003A7448">
        <w:rPr>
          <w:rFonts w:ascii="Times New Roman" w:eastAsia="TimesNewRoman,Bold" w:hAnsi="Times New Roman" w:cs="Times New Roman"/>
          <w:b/>
          <w:bCs/>
          <w:sz w:val="24"/>
          <w:szCs w:val="24"/>
        </w:rPr>
        <w:t>Deri ve deri altı doku bozuklukları</w:t>
      </w:r>
    </w:p>
    <w:p w:rsidR="00C975BA" w:rsidRPr="003A7448" w:rsidRDefault="00C975BA"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Bilinmiyor: Kaş</w:t>
      </w:r>
      <w:r w:rsidR="00F8343B" w:rsidRPr="003A7448">
        <w:rPr>
          <w:rFonts w:ascii="Times New Roman" w:eastAsia="TimesNewRoman,Bold" w:hAnsi="Times New Roman" w:cs="Times New Roman"/>
          <w:bCs/>
          <w:sz w:val="24"/>
          <w:szCs w:val="24"/>
        </w:rPr>
        <w:t>ıntı, döküntü, ürtiker gibi aşırı</w:t>
      </w:r>
      <w:r w:rsidRPr="003A7448">
        <w:rPr>
          <w:rFonts w:ascii="Times New Roman" w:eastAsia="TimesNewRoman,Bold" w:hAnsi="Times New Roman" w:cs="Times New Roman"/>
          <w:bCs/>
          <w:sz w:val="24"/>
          <w:szCs w:val="24"/>
        </w:rPr>
        <w:t xml:space="preserve"> duyarlılık reaksiyonları </w:t>
      </w:r>
    </w:p>
    <w:p w:rsidR="0089443B" w:rsidRPr="003A7448" w:rsidRDefault="0089443B" w:rsidP="009A6DDC">
      <w:pPr>
        <w:tabs>
          <w:tab w:val="left" w:pos="142"/>
          <w:tab w:val="left" w:pos="284"/>
          <w:tab w:val="left" w:pos="426"/>
        </w:tabs>
        <w:spacing w:line="276" w:lineRule="auto"/>
        <w:jc w:val="both"/>
        <w:rPr>
          <w:rFonts w:ascii="Times New Roman" w:hAnsi="Times New Roman"/>
          <w:sz w:val="24"/>
          <w:szCs w:val="24"/>
          <w:u w:val="single"/>
          <w:lang w:eastAsia="nl-NL"/>
        </w:rPr>
      </w:pPr>
    </w:p>
    <w:p w:rsidR="0089443B" w:rsidRPr="003A7448" w:rsidRDefault="0089443B" w:rsidP="009A6DDC">
      <w:pPr>
        <w:tabs>
          <w:tab w:val="left" w:pos="142"/>
          <w:tab w:val="left" w:pos="284"/>
          <w:tab w:val="left" w:pos="426"/>
        </w:tabs>
        <w:spacing w:line="276" w:lineRule="auto"/>
        <w:jc w:val="both"/>
        <w:rPr>
          <w:rFonts w:ascii="Times New Roman" w:eastAsia="MS Mincho" w:hAnsi="Times New Roman"/>
          <w:sz w:val="24"/>
          <w:szCs w:val="24"/>
          <w:u w:val="single"/>
          <w:lang w:eastAsia="ja-JP"/>
        </w:rPr>
      </w:pPr>
      <w:r w:rsidRPr="003A7448">
        <w:rPr>
          <w:rFonts w:ascii="Times New Roman" w:eastAsia="MS Mincho" w:hAnsi="Times New Roman"/>
          <w:sz w:val="24"/>
          <w:szCs w:val="24"/>
          <w:u w:val="single"/>
          <w:lang w:eastAsia="ja-JP"/>
        </w:rPr>
        <w:t>Şüpheli advers reaksiyonların raporlanması</w:t>
      </w:r>
    </w:p>
    <w:p w:rsidR="0089443B" w:rsidRPr="003A7448" w:rsidRDefault="0089443B" w:rsidP="009A6DDC">
      <w:pPr>
        <w:tabs>
          <w:tab w:val="left" w:pos="142"/>
          <w:tab w:val="left" w:pos="284"/>
          <w:tab w:val="left" w:pos="426"/>
        </w:tabs>
        <w:spacing w:line="276" w:lineRule="auto"/>
        <w:jc w:val="both"/>
        <w:rPr>
          <w:rFonts w:ascii="Times New Roman" w:eastAsia="MS Mincho" w:hAnsi="Times New Roman"/>
          <w:sz w:val="24"/>
          <w:szCs w:val="24"/>
          <w:lang w:eastAsia="ja-JP"/>
        </w:rPr>
      </w:pPr>
      <w:r w:rsidRPr="003A7448">
        <w:rPr>
          <w:rFonts w:ascii="Times New Roman" w:eastAsia="MS Mincho" w:hAnsi="Times New Roman"/>
          <w:sz w:val="24"/>
          <w:szCs w:val="24"/>
          <w:lang w:eastAsia="ja-JP"/>
        </w:rPr>
        <w:t xml:space="preserve">Ruhsatlandırma sonrası şüpheli ilaç advers reaksiyonlarının raporlanması büyük önem taşımaktadır. Raporlama yapılması, ilacın yarar / risk dengesinin sürekli olarak izlenmesine olanak sağlar. Sağlık mesleği mensuplarının herhangi bir şüpheli advers reaksiyonu Türkiye Farmakovijilans Merkezi (TÜFAM)'ne bildirmeleri gerekmektedir. (www.titck.gov.tr; </w:t>
      </w:r>
      <w:r w:rsidR="009A6DDC" w:rsidRPr="003A7448">
        <w:rPr>
          <w:rFonts w:ascii="Times New Roman" w:eastAsia="MS Mincho" w:hAnsi="Times New Roman"/>
          <w:sz w:val="24"/>
          <w:szCs w:val="24"/>
          <w:lang w:eastAsia="ja-JP"/>
        </w:rPr>
        <w:t xml:space="preserve">         </w:t>
      </w:r>
      <w:r w:rsidRPr="003A7448">
        <w:rPr>
          <w:rFonts w:ascii="Times New Roman" w:eastAsia="MS Mincho" w:hAnsi="Times New Roman"/>
          <w:sz w:val="24"/>
          <w:szCs w:val="24"/>
          <w:lang w:eastAsia="ja-JP"/>
        </w:rPr>
        <w:t>e-posta: tufam@titck.gov.tr; tel: 0 800 314 00 08; faks: 0 312 218 35 99)</w:t>
      </w:r>
    </w:p>
    <w:p w:rsidR="00EF6B74" w:rsidRPr="003A7448" w:rsidRDefault="00EF6B74" w:rsidP="009A6DDC">
      <w:pPr>
        <w:shd w:val="clear" w:color="auto" w:fill="FFFFFF"/>
        <w:spacing w:line="276" w:lineRule="auto"/>
        <w:ind w:right="1"/>
        <w:jc w:val="both"/>
        <w:rPr>
          <w:rFonts w:ascii="Times New Roman" w:hAnsi="Times New Roman" w:cs="Times New Roman"/>
          <w:sz w:val="24"/>
          <w:szCs w:val="24"/>
        </w:rPr>
      </w:pP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4.9.</w:t>
      </w:r>
      <w:r w:rsidR="000F1413" w:rsidRPr="003A7448">
        <w:rPr>
          <w:rFonts w:ascii="Times New Roman" w:hAnsi="Times New Roman" w:cs="Times New Roman"/>
          <w:b/>
          <w:sz w:val="24"/>
          <w:szCs w:val="24"/>
        </w:rPr>
        <w:t xml:space="preserve"> </w:t>
      </w:r>
      <w:r w:rsidRPr="003A7448">
        <w:rPr>
          <w:rFonts w:ascii="Times New Roman" w:hAnsi="Times New Roman" w:cs="Times New Roman"/>
          <w:b/>
          <w:sz w:val="24"/>
          <w:szCs w:val="24"/>
        </w:rPr>
        <w:t>Doz aşımı ve tedavisi</w:t>
      </w:r>
    </w:p>
    <w:p w:rsidR="00EF6B74" w:rsidRPr="003A7448" w:rsidRDefault="00EF6B74" w:rsidP="009A6DDC">
      <w:pPr>
        <w:spacing w:line="276" w:lineRule="auto"/>
        <w:ind w:right="1"/>
        <w:jc w:val="both"/>
        <w:rPr>
          <w:rFonts w:ascii="Times New Roman" w:eastAsia="TimesNewRoman,Bold" w:hAnsi="Times New Roman" w:cs="Times New Roman"/>
          <w:bCs/>
          <w:sz w:val="24"/>
          <w:szCs w:val="24"/>
          <w:u w:val="single"/>
        </w:rPr>
      </w:pPr>
      <w:r w:rsidRPr="003A7448">
        <w:rPr>
          <w:rFonts w:ascii="Times New Roman" w:eastAsia="TimesNewRoman,Bold" w:hAnsi="Times New Roman" w:cs="Times New Roman"/>
          <w:bCs/>
          <w:sz w:val="24"/>
          <w:szCs w:val="24"/>
          <w:u w:val="single"/>
        </w:rPr>
        <w:t>Belirtiler</w:t>
      </w:r>
    </w:p>
    <w:p w:rsidR="00EF6B74" w:rsidRPr="003A7448" w:rsidRDefault="00EF6B74"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D vitamininin akut ve kronik doz aşımı hiperkalsemiye neden olur. Hiperkalsemi belirtileri yorgunluk, ps</w:t>
      </w:r>
      <w:r w:rsidR="00066D97" w:rsidRPr="003A7448">
        <w:rPr>
          <w:rFonts w:ascii="Times New Roman" w:eastAsia="TimesNewRoman,Bold" w:hAnsi="Times New Roman" w:cs="Times New Roman"/>
          <w:bCs/>
          <w:sz w:val="24"/>
          <w:szCs w:val="24"/>
        </w:rPr>
        <w:t>i</w:t>
      </w:r>
      <w:r w:rsidRPr="003A7448">
        <w:rPr>
          <w:rFonts w:ascii="Times New Roman" w:eastAsia="TimesNewRoman,Bold" w:hAnsi="Times New Roman" w:cs="Times New Roman"/>
          <w:bCs/>
          <w:sz w:val="24"/>
          <w:szCs w:val="24"/>
        </w:rPr>
        <w:t>kiyatrik belirtiler (öfori, sersemlik, bilinç bulanıklığı gibi), bulantı, kusma, iştah kaybı, kilo kaybı, susama, poliüri, böbrek taşı oluşumu, nefrokalsinoz</w:t>
      </w:r>
      <w:r w:rsidR="00066D97" w:rsidRPr="003A7448">
        <w:rPr>
          <w:rFonts w:ascii="Times New Roman" w:eastAsia="TimesNewRoman,Bold" w:hAnsi="Times New Roman" w:cs="Times New Roman"/>
          <w:bCs/>
          <w:sz w:val="24"/>
          <w:szCs w:val="24"/>
        </w:rPr>
        <w:t>is</w:t>
      </w:r>
      <w:r w:rsidRPr="003A7448">
        <w:rPr>
          <w:rFonts w:ascii="Times New Roman" w:eastAsia="TimesNewRoman,Bold" w:hAnsi="Times New Roman" w:cs="Times New Roman"/>
          <w:bCs/>
          <w:sz w:val="24"/>
          <w:szCs w:val="24"/>
        </w:rPr>
        <w:t xml:space="preserve">, kemiklerde aşırı kireçlenme ve böbrek yetmezliği, EKG </w:t>
      </w:r>
      <w:r w:rsidR="00066D97" w:rsidRPr="003A7448">
        <w:rPr>
          <w:rFonts w:ascii="Times New Roman" w:eastAsia="TimesNewRoman,Bold" w:hAnsi="Times New Roman" w:cs="Times New Roman"/>
          <w:bCs/>
          <w:sz w:val="24"/>
          <w:szCs w:val="24"/>
        </w:rPr>
        <w:t>değişiklikleri</w:t>
      </w:r>
      <w:r w:rsidRPr="003A7448">
        <w:rPr>
          <w:rFonts w:ascii="Times New Roman" w:eastAsia="TimesNewRoman,Bold" w:hAnsi="Times New Roman" w:cs="Times New Roman"/>
          <w:bCs/>
          <w:sz w:val="24"/>
          <w:szCs w:val="24"/>
        </w:rPr>
        <w:t>, aritmi ve pankreatittir.</w:t>
      </w:r>
    </w:p>
    <w:p w:rsidR="00EF6B74" w:rsidRPr="003A7448" w:rsidRDefault="00EF6B74"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İzole vakalarda bu yan etkilerin seyri fatal olarak tanımlanmıştır.</w:t>
      </w:r>
    </w:p>
    <w:p w:rsidR="006B25CC" w:rsidRPr="003A7448" w:rsidRDefault="006B25CC" w:rsidP="009A6DDC">
      <w:pPr>
        <w:spacing w:line="276" w:lineRule="auto"/>
        <w:ind w:right="1"/>
        <w:jc w:val="both"/>
        <w:rPr>
          <w:rFonts w:ascii="Times New Roman" w:eastAsia="TimesNewRoman,Bold" w:hAnsi="Times New Roman" w:cs="Times New Roman"/>
          <w:bCs/>
          <w:sz w:val="24"/>
          <w:szCs w:val="24"/>
        </w:rPr>
      </w:pPr>
    </w:p>
    <w:p w:rsidR="00EF6B74" w:rsidRPr="003A7448" w:rsidRDefault="00EF6B74"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Hamilelikte doz aşımı:</w:t>
      </w:r>
    </w:p>
    <w:p w:rsidR="00EF6B74" w:rsidRPr="003A7448" w:rsidRDefault="00EF6B74"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 xml:space="preserve">Hamilelik boyunca masif dozlar, yeni doğanlarda aortik stenoz sendromu ve idiopatik hiperkalsemi oluşumu ile </w:t>
      </w:r>
      <w:r w:rsidR="00066D97" w:rsidRPr="003A7448">
        <w:rPr>
          <w:rFonts w:ascii="Times New Roman" w:eastAsia="TimesNewRoman,Bold" w:hAnsi="Times New Roman" w:cs="Times New Roman"/>
          <w:bCs/>
          <w:sz w:val="24"/>
          <w:szCs w:val="24"/>
        </w:rPr>
        <w:t>ilişkili bulunmuştur</w:t>
      </w:r>
      <w:r w:rsidRPr="003A7448">
        <w:rPr>
          <w:rFonts w:ascii="Times New Roman" w:eastAsia="TimesNewRoman,Bold" w:hAnsi="Times New Roman" w:cs="Times New Roman"/>
          <w:bCs/>
          <w:sz w:val="24"/>
          <w:szCs w:val="24"/>
        </w:rPr>
        <w:t xml:space="preserve">. Ayrıca yüzde anomaliler, fiziksel ve mental gerilik, şaşılık, </w:t>
      </w:r>
      <w:r w:rsidR="00066D97" w:rsidRPr="003A7448">
        <w:rPr>
          <w:rFonts w:ascii="Times New Roman" w:eastAsia="TimesNewRoman,Bold" w:hAnsi="Times New Roman" w:cs="Times New Roman"/>
          <w:bCs/>
          <w:sz w:val="24"/>
          <w:szCs w:val="24"/>
        </w:rPr>
        <w:t xml:space="preserve">dişte </w:t>
      </w:r>
      <w:r w:rsidRPr="003A7448">
        <w:rPr>
          <w:rFonts w:ascii="Times New Roman" w:eastAsia="TimesNewRoman,Bold" w:hAnsi="Times New Roman" w:cs="Times New Roman"/>
          <w:bCs/>
          <w:sz w:val="24"/>
          <w:szCs w:val="24"/>
        </w:rPr>
        <w:t>enamel bozukluklar, kraniyosinostoz, süper valvular aortik stenoz, pulmoner stenoz, kasık fıtığı, erkeklerde kriptorşidi</w:t>
      </w:r>
      <w:r w:rsidR="00066D97" w:rsidRPr="003A7448">
        <w:rPr>
          <w:rFonts w:ascii="Times New Roman" w:eastAsia="TimesNewRoman,Bold" w:hAnsi="Times New Roman" w:cs="Times New Roman"/>
          <w:bCs/>
          <w:sz w:val="24"/>
          <w:szCs w:val="24"/>
        </w:rPr>
        <w:t>zm</w:t>
      </w:r>
      <w:r w:rsidRPr="003A7448">
        <w:rPr>
          <w:rFonts w:ascii="Times New Roman" w:eastAsia="TimesNewRoman,Bold" w:hAnsi="Times New Roman" w:cs="Times New Roman"/>
          <w:bCs/>
          <w:sz w:val="24"/>
          <w:szCs w:val="24"/>
        </w:rPr>
        <w:t>, kızlarda ikincil cinsiyet karakteristiklerinin erken gelişimi rapor edilmiştir.</w:t>
      </w:r>
    </w:p>
    <w:p w:rsidR="00EF6B74" w:rsidRPr="003A7448" w:rsidRDefault="00EF6B74"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Ancak oldukça yüksek dozlar alan hipoparatiroitli annelerden normal çocukların doğmuş olduğunu gösteren bazı vaka raporları da mevcuttur.</w:t>
      </w:r>
    </w:p>
    <w:p w:rsidR="00EF6B74" w:rsidRPr="003A7448" w:rsidRDefault="00EF6B74" w:rsidP="009A6DDC">
      <w:pPr>
        <w:spacing w:line="276" w:lineRule="auto"/>
        <w:ind w:right="1"/>
        <w:jc w:val="both"/>
        <w:rPr>
          <w:rFonts w:ascii="Times New Roman" w:eastAsia="TimesNewRoman,Bold" w:hAnsi="Times New Roman" w:cs="Times New Roman"/>
          <w:bCs/>
          <w:sz w:val="24"/>
          <w:szCs w:val="24"/>
          <w:u w:val="single"/>
        </w:rPr>
      </w:pPr>
      <w:r w:rsidRPr="003A7448">
        <w:rPr>
          <w:rFonts w:ascii="Times New Roman" w:eastAsia="TimesNewRoman,Bold" w:hAnsi="Times New Roman" w:cs="Times New Roman"/>
          <w:bCs/>
          <w:sz w:val="24"/>
          <w:szCs w:val="24"/>
          <w:u w:val="single"/>
        </w:rPr>
        <w:t>Tedavi</w:t>
      </w:r>
    </w:p>
    <w:p w:rsidR="00EF6B74" w:rsidRPr="003A7448" w:rsidRDefault="00EF6B74"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 xml:space="preserve">Eğer masif doz alındıysa, karbon uygulaması ile birlikte </w:t>
      </w:r>
      <w:r w:rsidR="00A47824" w:rsidRPr="003A7448">
        <w:rPr>
          <w:rFonts w:ascii="Times New Roman" w:eastAsia="TimesNewRoman,Bold" w:hAnsi="Times New Roman" w:cs="Times New Roman"/>
          <w:bCs/>
          <w:sz w:val="24"/>
          <w:szCs w:val="24"/>
        </w:rPr>
        <w:t xml:space="preserve">mide bağırsak sisteminin boşaltılması </w:t>
      </w:r>
      <w:r w:rsidRPr="003A7448">
        <w:rPr>
          <w:rFonts w:ascii="Times New Roman" w:eastAsia="TimesNewRoman,Bold" w:hAnsi="Times New Roman" w:cs="Times New Roman"/>
          <w:bCs/>
          <w:sz w:val="24"/>
          <w:szCs w:val="24"/>
        </w:rPr>
        <w:t>göz önünde bulundurulmalıdır. Güneş ışığından ve D vitamini uygulamasına devam etmekten kaçınılmalıdır. Yeterli idrar söktürümünü sağlamak için rehidrasyon ve furosemid gibi diüretiklerle tedavi uygulanmalıdır. Hiperkalsemi durumunda bifosfonatlar veya kalsitonin ve kortikosteroidler verilebilir. Tedavi semptomlara yöneliktir.</w:t>
      </w:r>
    </w:p>
    <w:p w:rsidR="00102C7E" w:rsidRPr="003A7448" w:rsidRDefault="00102C7E" w:rsidP="009A6DDC">
      <w:pPr>
        <w:spacing w:line="276" w:lineRule="auto"/>
        <w:ind w:right="1"/>
        <w:jc w:val="both"/>
        <w:rPr>
          <w:rFonts w:ascii="Times New Roman" w:eastAsia="TimesNewRoman,Bold" w:hAnsi="Times New Roman" w:cs="Times New Roman"/>
          <w:bCs/>
          <w:sz w:val="24"/>
          <w:szCs w:val="24"/>
        </w:rPr>
      </w:pP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5.</w:t>
      </w:r>
      <w:r w:rsidR="00EC529E" w:rsidRPr="003A7448">
        <w:rPr>
          <w:rFonts w:ascii="Times New Roman" w:hAnsi="Times New Roman" w:cs="Times New Roman"/>
          <w:b/>
          <w:sz w:val="24"/>
          <w:szCs w:val="24"/>
        </w:rPr>
        <w:t xml:space="preserve"> </w:t>
      </w:r>
      <w:r w:rsidRPr="003A7448">
        <w:rPr>
          <w:rFonts w:ascii="Times New Roman" w:hAnsi="Times New Roman" w:cs="Times New Roman"/>
          <w:b/>
          <w:sz w:val="24"/>
          <w:szCs w:val="24"/>
        </w:rPr>
        <w:t>FARMAKOLOJİK ÖZELLİKLER</w:t>
      </w: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5.1.</w:t>
      </w:r>
      <w:r w:rsidR="000F1413" w:rsidRPr="003A7448">
        <w:rPr>
          <w:rFonts w:ascii="Times New Roman" w:hAnsi="Times New Roman" w:cs="Times New Roman"/>
          <w:b/>
          <w:sz w:val="24"/>
          <w:szCs w:val="24"/>
        </w:rPr>
        <w:t xml:space="preserve"> </w:t>
      </w:r>
      <w:r w:rsidRPr="003A7448">
        <w:rPr>
          <w:rFonts w:ascii="Times New Roman" w:hAnsi="Times New Roman" w:cs="Times New Roman"/>
          <w:b/>
          <w:sz w:val="24"/>
          <w:szCs w:val="24"/>
        </w:rPr>
        <w:t>Farmakodinamik özellikler</w:t>
      </w:r>
    </w:p>
    <w:p w:rsidR="00FF32DE" w:rsidRPr="003A7448" w:rsidRDefault="00E766C8"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Farmakoterapötik Grubu: V</w:t>
      </w:r>
      <w:r w:rsidR="00995B1D" w:rsidRPr="003A7448">
        <w:rPr>
          <w:rFonts w:ascii="Times New Roman" w:eastAsia="TimesNewRoman,Bold" w:hAnsi="Times New Roman" w:cs="Times New Roman"/>
          <w:bCs/>
          <w:sz w:val="24"/>
          <w:szCs w:val="24"/>
        </w:rPr>
        <w:t>itamin D ve analogları</w:t>
      </w:r>
      <w:r w:rsidRPr="003A7448">
        <w:rPr>
          <w:rFonts w:ascii="Times New Roman" w:eastAsia="TimesNewRoman,Bold" w:hAnsi="Times New Roman" w:cs="Times New Roman"/>
          <w:bCs/>
          <w:sz w:val="24"/>
          <w:szCs w:val="24"/>
        </w:rPr>
        <w:t xml:space="preserve"> </w:t>
      </w:r>
    </w:p>
    <w:p w:rsidR="00E766C8" w:rsidRPr="003A7448" w:rsidRDefault="00995B1D"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ATC Kodu: A11CC05</w:t>
      </w:r>
    </w:p>
    <w:p w:rsidR="006716BA" w:rsidRPr="003A7448" w:rsidRDefault="006716BA"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Kolekalsiferol (Vitamin D</w:t>
      </w:r>
      <w:r w:rsidRPr="003A7448">
        <w:rPr>
          <w:rFonts w:ascii="Times New Roman" w:eastAsia="TimesNewRoman,Bold" w:hAnsi="Times New Roman" w:cs="Times New Roman"/>
          <w:bCs/>
          <w:sz w:val="24"/>
          <w:szCs w:val="24"/>
          <w:vertAlign w:val="subscript"/>
        </w:rPr>
        <w:t>3</w:t>
      </w:r>
      <w:r w:rsidRPr="003A7448">
        <w:rPr>
          <w:rFonts w:ascii="Times New Roman" w:eastAsia="TimesNewRoman,Bold" w:hAnsi="Times New Roman" w:cs="Times New Roman"/>
          <w:bCs/>
          <w:sz w:val="24"/>
          <w:szCs w:val="24"/>
        </w:rPr>
        <w:t xml:space="preserve">) insanlarda serum fosfat ve kalsiyum konsantrasyonlarını, esas </w:t>
      </w:r>
      <w:r w:rsidRPr="003A7448">
        <w:rPr>
          <w:rFonts w:ascii="Times New Roman" w:eastAsia="TimesNewRoman,Bold" w:hAnsi="Times New Roman" w:cs="Times New Roman"/>
          <w:bCs/>
          <w:sz w:val="24"/>
          <w:szCs w:val="24"/>
        </w:rPr>
        <w:lastRenderedPageBreak/>
        <w:t>olarak emilimlerini arttırarak yükseltir. Kalsiyumun kemikler</w:t>
      </w:r>
      <w:r w:rsidR="004116EF" w:rsidRPr="003A7448">
        <w:rPr>
          <w:rFonts w:ascii="Times New Roman" w:eastAsia="TimesNewRoman,Bold" w:hAnsi="Times New Roman" w:cs="Times New Roman"/>
          <w:bCs/>
          <w:sz w:val="24"/>
          <w:szCs w:val="24"/>
        </w:rPr>
        <w:t>de depolanmasını</w:t>
      </w:r>
      <w:r w:rsidRPr="003A7448">
        <w:rPr>
          <w:rFonts w:ascii="Times New Roman" w:eastAsia="TimesNewRoman,Bold" w:hAnsi="Times New Roman" w:cs="Times New Roman"/>
          <w:bCs/>
          <w:sz w:val="24"/>
          <w:szCs w:val="24"/>
        </w:rPr>
        <w:t xml:space="preserve"> sağlar. Kalsiyumun ve fosfatın </w:t>
      </w:r>
      <w:r w:rsidR="004116EF" w:rsidRPr="003A7448">
        <w:rPr>
          <w:rFonts w:ascii="Times New Roman" w:eastAsia="TimesNewRoman,Bold" w:hAnsi="Times New Roman" w:cs="Times New Roman"/>
          <w:bCs/>
          <w:sz w:val="24"/>
          <w:szCs w:val="24"/>
        </w:rPr>
        <w:t xml:space="preserve">böbrek </w:t>
      </w:r>
      <w:r w:rsidRPr="003A7448">
        <w:rPr>
          <w:rFonts w:ascii="Times New Roman" w:eastAsia="TimesNewRoman,Bold" w:hAnsi="Times New Roman" w:cs="Times New Roman"/>
          <w:bCs/>
          <w:sz w:val="24"/>
          <w:szCs w:val="24"/>
        </w:rPr>
        <w:t>tübül</w:t>
      </w:r>
      <w:r w:rsidR="00EC529E" w:rsidRPr="003A7448">
        <w:rPr>
          <w:rFonts w:ascii="Times New Roman" w:eastAsia="TimesNewRoman,Bold" w:hAnsi="Times New Roman" w:cs="Times New Roman"/>
          <w:bCs/>
          <w:sz w:val="24"/>
          <w:szCs w:val="24"/>
        </w:rPr>
        <w:t>üs</w:t>
      </w:r>
      <w:r w:rsidRPr="003A7448">
        <w:rPr>
          <w:rFonts w:ascii="Times New Roman" w:eastAsia="TimesNewRoman,Bold" w:hAnsi="Times New Roman" w:cs="Times New Roman"/>
          <w:bCs/>
          <w:sz w:val="24"/>
          <w:szCs w:val="24"/>
        </w:rPr>
        <w:t xml:space="preserve"> hücreleri tarafından reabsorpsiyonunu arttırır böylece kalsiyum ve fosfat itrahmı azaltır. Paratiroid hormonla birlikte kalsiyum ve fosforun normal seviyelerde kalmasını sağlar. Kolekalsiferol ayrıca kemik rezor</w:t>
      </w:r>
      <w:r w:rsidR="004116EF" w:rsidRPr="003A7448">
        <w:rPr>
          <w:rFonts w:ascii="Times New Roman" w:eastAsia="TimesNewRoman,Bold" w:hAnsi="Times New Roman" w:cs="Times New Roman"/>
          <w:bCs/>
          <w:sz w:val="24"/>
          <w:szCs w:val="24"/>
        </w:rPr>
        <w:t>p</w:t>
      </w:r>
      <w:r w:rsidRPr="003A7448">
        <w:rPr>
          <w:rFonts w:ascii="Times New Roman" w:eastAsia="TimesNewRoman,Bold" w:hAnsi="Times New Roman" w:cs="Times New Roman"/>
          <w:bCs/>
          <w:sz w:val="24"/>
          <w:szCs w:val="24"/>
        </w:rPr>
        <w:t>siyonunu uyarır ve kemiğin normal mineralizasyonu için gereklidir. İndirekt olarak barsaktan artan kalsiyum absor</w:t>
      </w:r>
      <w:r w:rsidR="004116EF" w:rsidRPr="003A7448">
        <w:rPr>
          <w:rFonts w:ascii="Times New Roman" w:eastAsia="TimesNewRoman,Bold" w:hAnsi="Times New Roman" w:cs="Times New Roman"/>
          <w:bCs/>
          <w:sz w:val="24"/>
          <w:szCs w:val="24"/>
        </w:rPr>
        <w:t>p</w:t>
      </w:r>
      <w:r w:rsidRPr="003A7448">
        <w:rPr>
          <w:rFonts w:ascii="Times New Roman" w:eastAsia="TimesNewRoman,Bold" w:hAnsi="Times New Roman" w:cs="Times New Roman"/>
          <w:bCs/>
          <w:sz w:val="24"/>
          <w:szCs w:val="24"/>
        </w:rPr>
        <w:t>siyonu aracılığıyla, paratiroid hormon (PTH) sekresyonunu inhibe eder. Vücudun normaldeki günlük gereksinimi 400 - 800 I.U. arasındadır.</w:t>
      </w:r>
    </w:p>
    <w:p w:rsidR="001C01E5" w:rsidRPr="003A7448" w:rsidRDefault="001C01E5" w:rsidP="009A6DDC">
      <w:pPr>
        <w:shd w:val="clear" w:color="auto" w:fill="FFFFFF"/>
        <w:spacing w:line="276" w:lineRule="auto"/>
        <w:ind w:right="1"/>
        <w:jc w:val="both"/>
        <w:rPr>
          <w:rFonts w:ascii="Times New Roman" w:hAnsi="Times New Roman" w:cs="Times New Roman"/>
          <w:sz w:val="24"/>
          <w:szCs w:val="24"/>
        </w:rPr>
      </w:pP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5.2.</w:t>
      </w:r>
      <w:r w:rsidR="000F1413" w:rsidRPr="003A7448">
        <w:rPr>
          <w:rFonts w:ascii="Times New Roman" w:hAnsi="Times New Roman" w:cs="Times New Roman"/>
          <w:b/>
          <w:sz w:val="24"/>
          <w:szCs w:val="24"/>
        </w:rPr>
        <w:t xml:space="preserve"> </w:t>
      </w:r>
      <w:r w:rsidRPr="003A7448">
        <w:rPr>
          <w:rFonts w:ascii="Times New Roman" w:hAnsi="Times New Roman" w:cs="Times New Roman"/>
          <w:b/>
          <w:sz w:val="24"/>
          <w:szCs w:val="24"/>
        </w:rPr>
        <w:t>Farmakokinetik özellikler</w:t>
      </w: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Genel özellikler</w:t>
      </w:r>
    </w:p>
    <w:p w:rsidR="006716BA" w:rsidRPr="003A7448" w:rsidRDefault="006716BA"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u w:val="single"/>
        </w:rPr>
        <w:t>Emilim:</w:t>
      </w:r>
      <w:r w:rsidRPr="003A7448">
        <w:rPr>
          <w:rFonts w:ascii="Times New Roman" w:eastAsia="TimesNewRoman,Bold" w:hAnsi="Times New Roman" w:cs="Times New Roman"/>
          <w:bCs/>
          <w:sz w:val="24"/>
          <w:szCs w:val="24"/>
        </w:rPr>
        <w:t xml:space="preserve"> Kolekalsiferol gastrointestinal kanaldan iyi absorbe olur.</w:t>
      </w:r>
    </w:p>
    <w:p w:rsidR="00A50910" w:rsidRPr="003A7448" w:rsidRDefault="00A50910" w:rsidP="009A6DDC">
      <w:pPr>
        <w:spacing w:line="276" w:lineRule="auto"/>
        <w:ind w:right="1"/>
        <w:jc w:val="both"/>
        <w:rPr>
          <w:rFonts w:ascii="Times New Roman" w:eastAsia="TimesNewRoman,Bold" w:hAnsi="Times New Roman" w:cs="Times New Roman"/>
          <w:bCs/>
          <w:sz w:val="24"/>
          <w:szCs w:val="24"/>
          <w:u w:val="single"/>
        </w:rPr>
      </w:pPr>
    </w:p>
    <w:p w:rsidR="006716BA" w:rsidRPr="003A7448" w:rsidRDefault="006716BA"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u w:val="single"/>
        </w:rPr>
        <w:t>Dağılım:</w:t>
      </w:r>
      <w:r w:rsidRPr="003A7448">
        <w:rPr>
          <w:rFonts w:ascii="Times New Roman" w:eastAsia="TimesNewRoman,Bold" w:hAnsi="Times New Roman" w:cs="Times New Roman"/>
          <w:bCs/>
          <w:sz w:val="24"/>
          <w:szCs w:val="24"/>
        </w:rPr>
        <w:t xml:space="preserve"> Kana geçen D vitamini ve metabolitleri spesifik bir α-globuline bağlanır. D vitamini </w:t>
      </w:r>
      <w:r w:rsidR="004116EF" w:rsidRPr="003A7448">
        <w:rPr>
          <w:rFonts w:ascii="Times New Roman" w:eastAsia="TimesNewRoman,Bold" w:hAnsi="Times New Roman" w:cs="Times New Roman"/>
          <w:bCs/>
          <w:sz w:val="24"/>
          <w:szCs w:val="24"/>
        </w:rPr>
        <w:t>yağ</w:t>
      </w:r>
      <w:r w:rsidRPr="003A7448">
        <w:rPr>
          <w:rFonts w:ascii="Times New Roman" w:eastAsia="TimesNewRoman,Bold" w:hAnsi="Times New Roman" w:cs="Times New Roman"/>
          <w:bCs/>
          <w:sz w:val="24"/>
          <w:szCs w:val="24"/>
        </w:rPr>
        <w:t xml:space="preserve"> ve kas doku</w:t>
      </w:r>
      <w:r w:rsidR="004116EF" w:rsidRPr="003A7448">
        <w:rPr>
          <w:rFonts w:ascii="Times New Roman" w:eastAsia="TimesNewRoman,Bold" w:hAnsi="Times New Roman" w:cs="Times New Roman"/>
          <w:bCs/>
          <w:sz w:val="24"/>
          <w:szCs w:val="24"/>
        </w:rPr>
        <w:t>larında</w:t>
      </w:r>
      <w:r w:rsidRPr="003A7448">
        <w:rPr>
          <w:rFonts w:ascii="Times New Roman" w:eastAsia="TimesNewRoman,Bold" w:hAnsi="Times New Roman" w:cs="Times New Roman"/>
          <w:bCs/>
          <w:sz w:val="24"/>
          <w:szCs w:val="24"/>
        </w:rPr>
        <w:t xml:space="preserve"> uzun bir süre için depo edilebilir ve bu depolama yerlerinden yavaş olarak salınır. Kolekalsiferol yavaş başlangıçlı fakat uzun süreli etkiye sahiptir. Yarılanma ömrü 19-25 saattir.</w:t>
      </w:r>
    </w:p>
    <w:p w:rsidR="00A50910" w:rsidRPr="003A7448" w:rsidRDefault="00A50910" w:rsidP="009A6DDC">
      <w:pPr>
        <w:spacing w:line="276" w:lineRule="auto"/>
        <w:ind w:right="1"/>
        <w:jc w:val="both"/>
        <w:rPr>
          <w:rFonts w:ascii="Times New Roman" w:eastAsia="TimesNewRoman,Bold" w:hAnsi="Times New Roman" w:cs="Times New Roman"/>
          <w:bCs/>
          <w:sz w:val="24"/>
          <w:szCs w:val="24"/>
          <w:u w:val="single"/>
        </w:rPr>
      </w:pPr>
    </w:p>
    <w:p w:rsidR="006716BA" w:rsidRPr="003A7448" w:rsidRDefault="006716BA"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u w:val="single"/>
        </w:rPr>
        <w:t>Biyotransformasyon:</w:t>
      </w:r>
      <w:r w:rsidRPr="003A7448">
        <w:rPr>
          <w:rFonts w:ascii="Times New Roman" w:eastAsia="TimesNewRoman,Bold" w:hAnsi="Times New Roman" w:cs="Times New Roman"/>
          <w:bCs/>
          <w:sz w:val="24"/>
          <w:szCs w:val="24"/>
        </w:rPr>
        <w:t xml:space="preserve"> Kolekalsiferol karaciğerde mitokondride 25-hidroksilaz enzimi vasıtası ile 25-hidroksi türevine çevrilir. Bu metabolit böbreklerde 1-α hidroksilaz enzimi vasıtası ile bir kez daha hidroksillenir ve aktif hale gelir. 1-25 hidroksilli metabolit böbreklerde 24, 25 hidroksilli biyolojik aktivitesi minimal düzeydeki metabolitine dönüştürülür.</w:t>
      </w:r>
    </w:p>
    <w:p w:rsidR="00A50910" w:rsidRPr="003A7448" w:rsidRDefault="00A50910" w:rsidP="009A6DDC">
      <w:pPr>
        <w:spacing w:line="276" w:lineRule="auto"/>
        <w:ind w:right="1"/>
        <w:jc w:val="both"/>
        <w:rPr>
          <w:rFonts w:ascii="Times New Roman" w:eastAsia="TimesNewRoman,Bold" w:hAnsi="Times New Roman" w:cs="Times New Roman"/>
          <w:bCs/>
          <w:sz w:val="24"/>
          <w:szCs w:val="24"/>
          <w:u w:val="single"/>
        </w:rPr>
      </w:pPr>
    </w:p>
    <w:p w:rsidR="006716BA" w:rsidRPr="003A7448" w:rsidRDefault="006716BA"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u w:val="single"/>
        </w:rPr>
        <w:t>Eliminasyon:</w:t>
      </w:r>
      <w:r w:rsidRPr="003A7448">
        <w:rPr>
          <w:rFonts w:ascii="Times New Roman" w:eastAsia="TimesNewRoman,Bold" w:hAnsi="Times New Roman" w:cs="Times New Roman"/>
          <w:bCs/>
          <w:sz w:val="24"/>
          <w:szCs w:val="24"/>
        </w:rPr>
        <w:t xml:space="preserve"> D </w:t>
      </w:r>
      <w:r w:rsidR="00BC4ED9" w:rsidRPr="003A7448">
        <w:rPr>
          <w:rFonts w:ascii="Times New Roman" w:eastAsia="TimesNewRoman,Bold" w:hAnsi="Times New Roman" w:cs="Times New Roman"/>
          <w:bCs/>
          <w:sz w:val="24"/>
          <w:szCs w:val="24"/>
        </w:rPr>
        <w:t xml:space="preserve">vitamini </w:t>
      </w:r>
      <w:r w:rsidRPr="003A7448">
        <w:rPr>
          <w:rFonts w:ascii="Times New Roman" w:eastAsia="TimesNewRoman,Bold" w:hAnsi="Times New Roman" w:cs="Times New Roman"/>
          <w:bCs/>
          <w:sz w:val="24"/>
          <w:szCs w:val="24"/>
        </w:rPr>
        <w:t>bileşikleri ve metabolitleri esas olarak safra ve dışkı ile atılırlar. Küçük miktarda idrarla atılırlar. İdrarla atılan ana metabolit kalsitroik asittir.</w:t>
      </w:r>
    </w:p>
    <w:p w:rsidR="00D76C13" w:rsidRPr="003A7448" w:rsidRDefault="00D76C13" w:rsidP="009A6DDC">
      <w:pPr>
        <w:shd w:val="clear" w:color="auto" w:fill="FFFFFF"/>
        <w:spacing w:line="276" w:lineRule="auto"/>
        <w:ind w:right="1"/>
        <w:jc w:val="both"/>
        <w:rPr>
          <w:rFonts w:ascii="Times New Roman" w:hAnsi="Times New Roman" w:cs="Times New Roman"/>
          <w:sz w:val="24"/>
          <w:szCs w:val="24"/>
        </w:rPr>
      </w:pP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5.3.</w:t>
      </w:r>
      <w:r w:rsidR="000F1413" w:rsidRPr="003A7448">
        <w:rPr>
          <w:rFonts w:ascii="Times New Roman" w:hAnsi="Times New Roman" w:cs="Times New Roman"/>
          <w:b/>
          <w:sz w:val="24"/>
          <w:szCs w:val="24"/>
        </w:rPr>
        <w:t xml:space="preserve"> </w:t>
      </w:r>
      <w:r w:rsidRPr="003A7448">
        <w:rPr>
          <w:rFonts w:ascii="Times New Roman" w:hAnsi="Times New Roman" w:cs="Times New Roman"/>
          <w:b/>
          <w:sz w:val="24"/>
          <w:szCs w:val="24"/>
        </w:rPr>
        <w:t>Klinik öncesi güvenlilik verileri</w:t>
      </w:r>
    </w:p>
    <w:p w:rsidR="00661B19" w:rsidRPr="003A7448" w:rsidRDefault="00AE3EF4" w:rsidP="009A6DDC">
      <w:pPr>
        <w:spacing w:line="276" w:lineRule="auto"/>
        <w:ind w:right="1"/>
        <w:jc w:val="both"/>
        <w:rPr>
          <w:rFonts w:ascii="Times New Roman" w:eastAsia="TimesNewRoman,Bold" w:hAnsi="Times New Roman" w:cs="Times New Roman"/>
          <w:bCs/>
          <w:sz w:val="24"/>
          <w:szCs w:val="24"/>
        </w:rPr>
      </w:pPr>
      <w:r w:rsidRPr="003A7448">
        <w:rPr>
          <w:rFonts w:ascii="Times New Roman" w:hAnsi="Times New Roman" w:cs="Times New Roman"/>
          <w:sz w:val="24"/>
          <w:szCs w:val="24"/>
        </w:rPr>
        <w:t>Hayvanlarda kronik güvenlilik değerlendirme çalışmaları Vitamin D’nin genellikle iyi tolere edilir olduğunu göstermektedir.</w:t>
      </w:r>
      <w:r w:rsidR="00661B19" w:rsidRPr="003A7448">
        <w:rPr>
          <w:rFonts w:ascii="Times New Roman" w:eastAsia="TimesNewRoman,Bold" w:hAnsi="Times New Roman" w:cs="Times New Roman"/>
          <w:bCs/>
          <w:sz w:val="24"/>
          <w:szCs w:val="24"/>
        </w:rPr>
        <w:t xml:space="preserve"> Ancak hamilelik boyunca vitamin D</w:t>
      </w:r>
      <w:r w:rsidR="00661B19" w:rsidRPr="003A7448">
        <w:rPr>
          <w:rFonts w:ascii="Times New Roman" w:eastAsia="TimesNewRoman,Bold" w:hAnsi="Times New Roman" w:cs="Times New Roman"/>
          <w:bCs/>
          <w:sz w:val="24"/>
          <w:szCs w:val="24"/>
          <w:vertAlign w:val="subscript"/>
        </w:rPr>
        <w:t>3</w:t>
      </w:r>
      <w:r w:rsidR="00661B19" w:rsidRPr="003A7448">
        <w:rPr>
          <w:rFonts w:ascii="Times New Roman" w:eastAsia="TimesNewRoman,Bold" w:hAnsi="Times New Roman" w:cs="Times New Roman"/>
          <w:bCs/>
          <w:sz w:val="24"/>
          <w:szCs w:val="24"/>
        </w:rPr>
        <w:t xml:space="preserve"> doz aşımı farelerde, sıçanlarda ve tavşanlarda malformasyona sebep olur (iskelet ile ilgili bozukluklar, mikrosefali, kardiyak malformasyonu).</w:t>
      </w:r>
    </w:p>
    <w:p w:rsidR="00AE3EF4" w:rsidRPr="003A7448" w:rsidRDefault="00AE3EF4" w:rsidP="009A6DDC">
      <w:pPr>
        <w:shd w:val="clear" w:color="auto" w:fill="FFFFFF"/>
        <w:spacing w:line="276" w:lineRule="auto"/>
        <w:ind w:right="1"/>
        <w:jc w:val="both"/>
        <w:rPr>
          <w:rFonts w:ascii="Times New Roman" w:hAnsi="Times New Roman" w:cs="Times New Roman"/>
          <w:sz w:val="24"/>
          <w:szCs w:val="24"/>
        </w:rPr>
      </w:pPr>
    </w:p>
    <w:p w:rsidR="00E766C8" w:rsidRPr="003A7448" w:rsidRDefault="004116EF"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 xml:space="preserve">6. </w:t>
      </w:r>
      <w:r w:rsidR="00E766C8" w:rsidRPr="003A7448">
        <w:rPr>
          <w:rFonts w:ascii="Times New Roman" w:hAnsi="Times New Roman" w:cs="Times New Roman"/>
          <w:b/>
          <w:sz w:val="24"/>
          <w:szCs w:val="24"/>
        </w:rPr>
        <w:t>FARMASÖTİK ÖZELLİKLER</w:t>
      </w: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 xml:space="preserve">6.1. </w:t>
      </w:r>
      <w:r w:rsidR="000F1413" w:rsidRPr="003A7448">
        <w:rPr>
          <w:rFonts w:ascii="Times New Roman" w:hAnsi="Times New Roman" w:cs="Times New Roman"/>
          <w:b/>
          <w:sz w:val="24"/>
          <w:szCs w:val="24"/>
        </w:rPr>
        <w:t xml:space="preserve"> </w:t>
      </w:r>
      <w:r w:rsidRPr="003A7448">
        <w:rPr>
          <w:rFonts w:ascii="Times New Roman" w:hAnsi="Times New Roman" w:cs="Times New Roman"/>
          <w:b/>
          <w:sz w:val="24"/>
          <w:szCs w:val="24"/>
        </w:rPr>
        <w:t>Yardımcı maddelerin listesi</w:t>
      </w:r>
    </w:p>
    <w:p w:rsidR="00352000" w:rsidRPr="003A7448" w:rsidRDefault="00352000" w:rsidP="009A6DDC">
      <w:pPr>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Bütilhidroksitoluen</w:t>
      </w:r>
    </w:p>
    <w:p w:rsidR="00352000" w:rsidRPr="003A7448" w:rsidRDefault="004116EF" w:rsidP="009A6DDC">
      <w:pPr>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Ayçiçek yağı</w:t>
      </w:r>
    </w:p>
    <w:p w:rsidR="004116EF" w:rsidRPr="003A7448" w:rsidRDefault="004116EF" w:rsidP="009A6DDC">
      <w:pPr>
        <w:spacing w:line="276" w:lineRule="auto"/>
        <w:ind w:right="1"/>
        <w:jc w:val="both"/>
        <w:rPr>
          <w:rFonts w:ascii="Times New Roman" w:hAnsi="Times New Roman" w:cs="Times New Roman"/>
          <w:sz w:val="24"/>
          <w:szCs w:val="24"/>
        </w:rPr>
      </w:pP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6.2.</w:t>
      </w:r>
      <w:r w:rsidR="000F1413" w:rsidRPr="003A7448">
        <w:rPr>
          <w:rFonts w:ascii="Times New Roman" w:hAnsi="Times New Roman" w:cs="Times New Roman"/>
          <w:b/>
          <w:sz w:val="24"/>
          <w:szCs w:val="24"/>
        </w:rPr>
        <w:t xml:space="preserve"> </w:t>
      </w:r>
      <w:r w:rsidRPr="003A7448">
        <w:rPr>
          <w:rFonts w:ascii="Times New Roman" w:hAnsi="Times New Roman" w:cs="Times New Roman"/>
          <w:b/>
          <w:sz w:val="24"/>
          <w:szCs w:val="24"/>
        </w:rPr>
        <w:t>Geçimsizlikler</w:t>
      </w:r>
    </w:p>
    <w:p w:rsidR="00141850" w:rsidRPr="003A7448" w:rsidRDefault="00141850" w:rsidP="009A6DDC">
      <w:pPr>
        <w:spacing w:line="276" w:lineRule="auto"/>
        <w:ind w:right="1"/>
        <w:jc w:val="both"/>
        <w:rPr>
          <w:rFonts w:ascii="Times New Roman" w:eastAsia="TimesNewRoman,Bold" w:hAnsi="Times New Roman" w:cs="Times New Roman"/>
          <w:bCs/>
          <w:sz w:val="24"/>
          <w:szCs w:val="24"/>
        </w:rPr>
      </w:pPr>
      <w:r w:rsidRPr="003A7448">
        <w:rPr>
          <w:rFonts w:ascii="Times New Roman" w:eastAsia="TimesNewRoman,Bold" w:hAnsi="Times New Roman" w:cs="Times New Roman"/>
          <w:bCs/>
          <w:sz w:val="24"/>
          <w:szCs w:val="24"/>
        </w:rPr>
        <w:t>Geçerli değildir.</w:t>
      </w:r>
    </w:p>
    <w:p w:rsidR="004116EF" w:rsidRPr="003A7448" w:rsidRDefault="004116EF" w:rsidP="009A6DDC">
      <w:pPr>
        <w:spacing w:line="276" w:lineRule="auto"/>
        <w:ind w:right="1"/>
        <w:jc w:val="both"/>
        <w:rPr>
          <w:rFonts w:ascii="Times New Roman" w:eastAsia="TimesNewRoman,Bold" w:hAnsi="Times New Roman" w:cs="Times New Roman"/>
          <w:bCs/>
          <w:sz w:val="24"/>
          <w:szCs w:val="24"/>
        </w:rPr>
      </w:pP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6.3.</w:t>
      </w:r>
      <w:r w:rsidR="000F1413" w:rsidRPr="003A7448">
        <w:rPr>
          <w:rFonts w:ascii="Times New Roman" w:hAnsi="Times New Roman" w:cs="Times New Roman"/>
          <w:b/>
          <w:sz w:val="24"/>
          <w:szCs w:val="24"/>
        </w:rPr>
        <w:t xml:space="preserve"> </w:t>
      </w:r>
      <w:r w:rsidRPr="003A7448">
        <w:rPr>
          <w:rFonts w:ascii="Times New Roman" w:hAnsi="Times New Roman" w:cs="Times New Roman"/>
          <w:b/>
          <w:sz w:val="24"/>
          <w:szCs w:val="24"/>
        </w:rPr>
        <w:t>Raf ömrü</w:t>
      </w:r>
    </w:p>
    <w:p w:rsidR="0038024F" w:rsidRPr="003A7448" w:rsidRDefault="004116EF"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60 ay</w:t>
      </w:r>
    </w:p>
    <w:p w:rsidR="00EC529E" w:rsidRPr="003A7448" w:rsidRDefault="00EC529E" w:rsidP="009A6DDC">
      <w:pPr>
        <w:shd w:val="clear" w:color="auto" w:fill="FFFFFF"/>
        <w:spacing w:line="276" w:lineRule="auto"/>
        <w:ind w:right="1"/>
        <w:jc w:val="both"/>
        <w:rPr>
          <w:rFonts w:ascii="Times New Roman" w:hAnsi="Times New Roman" w:cs="Times New Roman"/>
          <w:sz w:val="24"/>
          <w:szCs w:val="24"/>
        </w:rPr>
      </w:pP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6.4.</w:t>
      </w:r>
      <w:r w:rsidR="000F1413" w:rsidRPr="003A7448">
        <w:rPr>
          <w:rFonts w:ascii="Times New Roman" w:hAnsi="Times New Roman" w:cs="Times New Roman"/>
          <w:b/>
          <w:sz w:val="24"/>
          <w:szCs w:val="24"/>
        </w:rPr>
        <w:t xml:space="preserve"> </w:t>
      </w:r>
      <w:r w:rsidRPr="003A7448">
        <w:rPr>
          <w:rFonts w:ascii="Times New Roman" w:hAnsi="Times New Roman" w:cs="Times New Roman"/>
          <w:b/>
          <w:sz w:val="24"/>
          <w:szCs w:val="24"/>
        </w:rPr>
        <w:t>Saklamaya yönelik özel tedbirler</w:t>
      </w:r>
    </w:p>
    <w:p w:rsidR="00352000" w:rsidRPr="003A7448" w:rsidRDefault="00E70CD3"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25</w:t>
      </w:r>
      <w:r w:rsidR="00352000" w:rsidRPr="003A7448">
        <w:rPr>
          <w:rFonts w:ascii="Times New Roman" w:hAnsi="Times New Roman" w:cs="Times New Roman"/>
          <w:sz w:val="24"/>
          <w:szCs w:val="24"/>
        </w:rPr>
        <w:t xml:space="preserve"> °C’nin altındaki oda sıcaklığında</w:t>
      </w:r>
      <w:r w:rsidR="00913936" w:rsidRPr="003A7448">
        <w:rPr>
          <w:rFonts w:ascii="Times New Roman" w:hAnsi="Times New Roman" w:cs="Times New Roman"/>
          <w:sz w:val="24"/>
          <w:szCs w:val="24"/>
        </w:rPr>
        <w:t>, kuru yerde</w:t>
      </w:r>
      <w:r w:rsidR="00352000" w:rsidRPr="003A7448">
        <w:rPr>
          <w:rFonts w:ascii="Times New Roman" w:hAnsi="Times New Roman" w:cs="Times New Roman"/>
          <w:sz w:val="24"/>
          <w:szCs w:val="24"/>
        </w:rPr>
        <w:t xml:space="preserve"> ve ışıktan uzakta</w:t>
      </w:r>
      <w:r w:rsidR="00913936" w:rsidRPr="003A7448">
        <w:rPr>
          <w:rFonts w:ascii="Times New Roman" w:hAnsi="Times New Roman" w:cs="Times New Roman"/>
          <w:sz w:val="24"/>
          <w:szCs w:val="24"/>
        </w:rPr>
        <w:t>, ambalajında</w:t>
      </w:r>
      <w:r w:rsidR="00352000" w:rsidRPr="003A7448">
        <w:rPr>
          <w:rFonts w:ascii="Times New Roman" w:hAnsi="Times New Roman" w:cs="Times New Roman"/>
          <w:sz w:val="24"/>
          <w:szCs w:val="24"/>
        </w:rPr>
        <w:t xml:space="preserve"> saklayınız.</w:t>
      </w: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lastRenderedPageBreak/>
        <w:t>6.5.</w:t>
      </w:r>
      <w:r w:rsidR="000F1413" w:rsidRPr="003A7448">
        <w:rPr>
          <w:rFonts w:ascii="Times New Roman" w:hAnsi="Times New Roman" w:cs="Times New Roman"/>
          <w:b/>
          <w:sz w:val="24"/>
          <w:szCs w:val="24"/>
        </w:rPr>
        <w:t xml:space="preserve"> </w:t>
      </w:r>
      <w:r w:rsidRPr="003A7448">
        <w:rPr>
          <w:rFonts w:ascii="Times New Roman" w:hAnsi="Times New Roman" w:cs="Times New Roman"/>
          <w:b/>
          <w:sz w:val="24"/>
          <w:szCs w:val="24"/>
        </w:rPr>
        <w:t>Ambalajın niteliği ve içeriği</w:t>
      </w:r>
    </w:p>
    <w:p w:rsidR="00352000" w:rsidRPr="003A7448" w:rsidRDefault="00352000"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Tip I camdan yapılmış, üzeri baskılı amber renkli, halkalı 1 ml’lik ampuller.</w:t>
      </w:r>
    </w:p>
    <w:p w:rsidR="00E44247" w:rsidRPr="003A7448" w:rsidRDefault="00E44247" w:rsidP="009A6DDC">
      <w:pPr>
        <w:spacing w:line="276" w:lineRule="auto"/>
        <w:jc w:val="both"/>
        <w:rPr>
          <w:rFonts w:ascii="Times New Roman" w:hAnsi="Times New Roman"/>
          <w:sz w:val="24"/>
          <w:szCs w:val="24"/>
        </w:rPr>
      </w:pPr>
      <w:r w:rsidRPr="003A7448">
        <w:rPr>
          <w:rFonts w:ascii="Times New Roman" w:hAnsi="Times New Roman"/>
          <w:sz w:val="24"/>
          <w:szCs w:val="24"/>
        </w:rPr>
        <w:t xml:space="preserve">Her bir karton kutu, </w:t>
      </w:r>
      <w:r w:rsidR="00D63B0C" w:rsidRPr="003A7448">
        <w:rPr>
          <w:rFonts w:ascii="Times New Roman" w:hAnsi="Times New Roman"/>
          <w:sz w:val="24"/>
          <w:szCs w:val="24"/>
        </w:rPr>
        <w:t>1 ve 5</w:t>
      </w:r>
      <w:r w:rsidRPr="003A7448">
        <w:rPr>
          <w:rFonts w:ascii="Times New Roman" w:hAnsi="Times New Roman"/>
          <w:sz w:val="24"/>
          <w:szCs w:val="24"/>
        </w:rPr>
        <w:t>0 adet 1 ml’lik ampul içermektedir.</w:t>
      </w:r>
    </w:p>
    <w:p w:rsidR="00E44247" w:rsidRPr="003A7448" w:rsidRDefault="00E44247" w:rsidP="009A6DDC">
      <w:pPr>
        <w:shd w:val="clear" w:color="auto" w:fill="FFFFFF"/>
        <w:spacing w:line="276" w:lineRule="auto"/>
        <w:ind w:right="1"/>
        <w:jc w:val="both"/>
        <w:rPr>
          <w:rFonts w:ascii="Times New Roman" w:hAnsi="Times New Roman" w:cs="Times New Roman"/>
          <w:b/>
          <w:sz w:val="24"/>
          <w:szCs w:val="24"/>
        </w:rPr>
      </w:pPr>
    </w:p>
    <w:p w:rsidR="00E766C8"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6.6.</w:t>
      </w:r>
      <w:r w:rsidR="000F1413" w:rsidRPr="003A7448">
        <w:rPr>
          <w:rFonts w:ascii="Times New Roman" w:hAnsi="Times New Roman" w:cs="Times New Roman"/>
          <w:b/>
          <w:sz w:val="24"/>
          <w:szCs w:val="24"/>
        </w:rPr>
        <w:t xml:space="preserve"> </w:t>
      </w:r>
      <w:r w:rsidRPr="003A7448">
        <w:rPr>
          <w:rFonts w:ascii="Times New Roman" w:hAnsi="Times New Roman" w:cs="Times New Roman"/>
          <w:b/>
          <w:sz w:val="24"/>
          <w:szCs w:val="24"/>
        </w:rPr>
        <w:t>Beşeri tıbbi üründen arta kalan maddelerin imhası ve diğer özel önlemler</w:t>
      </w:r>
    </w:p>
    <w:p w:rsidR="00E766C8" w:rsidRPr="003A7448" w:rsidRDefault="00E766C8"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Kullanılmamış olan ürünler ya da atık materyaller "Tıbbi Atık</w:t>
      </w:r>
      <w:r w:rsidR="002D387C" w:rsidRPr="003A7448">
        <w:rPr>
          <w:rFonts w:ascii="Times New Roman" w:hAnsi="Times New Roman" w:cs="Times New Roman"/>
          <w:sz w:val="24"/>
          <w:szCs w:val="24"/>
        </w:rPr>
        <w:t>ların</w:t>
      </w:r>
      <w:r w:rsidRPr="003A7448">
        <w:rPr>
          <w:rFonts w:ascii="Times New Roman" w:hAnsi="Times New Roman" w:cs="Times New Roman"/>
          <w:sz w:val="24"/>
          <w:szCs w:val="24"/>
        </w:rPr>
        <w:t xml:space="preserve"> Kontrolü Yönetmeliği" ve "Ambalaj ve Ambalaj Atık</w:t>
      </w:r>
      <w:r w:rsidR="00FF32DE" w:rsidRPr="003A7448">
        <w:rPr>
          <w:rFonts w:ascii="Times New Roman" w:hAnsi="Times New Roman" w:cs="Times New Roman"/>
          <w:sz w:val="24"/>
          <w:szCs w:val="24"/>
        </w:rPr>
        <w:t>ları</w:t>
      </w:r>
      <w:r w:rsidRPr="003A7448">
        <w:rPr>
          <w:rFonts w:ascii="Times New Roman" w:hAnsi="Times New Roman" w:cs="Times New Roman"/>
          <w:sz w:val="24"/>
          <w:szCs w:val="24"/>
        </w:rPr>
        <w:t xml:space="preserve"> Kontrolü Yönetmeliği"ne uygun olarak imha edilmelidir.</w:t>
      </w:r>
    </w:p>
    <w:p w:rsidR="0090260C" w:rsidRPr="003A7448" w:rsidRDefault="0090260C" w:rsidP="009A6DDC">
      <w:pPr>
        <w:shd w:val="clear" w:color="auto" w:fill="FFFFFF"/>
        <w:spacing w:line="276" w:lineRule="auto"/>
        <w:ind w:right="1"/>
        <w:jc w:val="both"/>
        <w:rPr>
          <w:rFonts w:ascii="Times New Roman" w:hAnsi="Times New Roman" w:cs="Times New Roman"/>
          <w:sz w:val="24"/>
          <w:szCs w:val="24"/>
        </w:rPr>
      </w:pPr>
    </w:p>
    <w:p w:rsidR="00E766C8" w:rsidRPr="003A7448" w:rsidRDefault="004116EF"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 xml:space="preserve">7. </w:t>
      </w:r>
      <w:r w:rsidR="00E766C8" w:rsidRPr="003A7448">
        <w:rPr>
          <w:rFonts w:ascii="Times New Roman" w:hAnsi="Times New Roman" w:cs="Times New Roman"/>
          <w:b/>
          <w:sz w:val="24"/>
          <w:szCs w:val="24"/>
        </w:rPr>
        <w:t>RUHSAT SAHİBİ</w:t>
      </w:r>
    </w:p>
    <w:p w:rsidR="00FD09FA" w:rsidRPr="003A7448" w:rsidRDefault="00FD09FA"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Deva Holding A.Ş.</w:t>
      </w:r>
    </w:p>
    <w:p w:rsidR="00FD09FA" w:rsidRPr="003A7448" w:rsidRDefault="00FD09FA"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Halkalı Merkez Mah.Basın Ekspres Cad.</w:t>
      </w:r>
    </w:p>
    <w:p w:rsidR="00FD09FA" w:rsidRPr="003A7448" w:rsidRDefault="00FD09FA"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 xml:space="preserve">No: 1 34303 Küçükçekmece </w:t>
      </w:r>
      <w:r w:rsidR="0030017E" w:rsidRPr="003A7448">
        <w:rPr>
          <w:rFonts w:ascii="Times New Roman" w:hAnsi="Times New Roman" w:cs="Times New Roman"/>
          <w:sz w:val="24"/>
          <w:szCs w:val="24"/>
        </w:rPr>
        <w:t>–</w:t>
      </w:r>
      <w:r w:rsidRPr="003A7448">
        <w:rPr>
          <w:rFonts w:ascii="Times New Roman" w:hAnsi="Times New Roman" w:cs="Times New Roman"/>
          <w:sz w:val="24"/>
          <w:szCs w:val="24"/>
        </w:rPr>
        <w:t xml:space="preserve"> İstanbul</w:t>
      </w:r>
    </w:p>
    <w:p w:rsidR="00EA27B7" w:rsidRPr="003A7448" w:rsidRDefault="00EA27B7"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Tel:    0 212 692 92 92</w:t>
      </w:r>
    </w:p>
    <w:p w:rsidR="00D76C13" w:rsidRPr="003A7448" w:rsidRDefault="00EA27B7"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Faks: 0 212 697 00 24</w:t>
      </w:r>
    </w:p>
    <w:p w:rsidR="004116EF" w:rsidRPr="003A7448" w:rsidRDefault="004116EF" w:rsidP="009A6DDC">
      <w:pPr>
        <w:shd w:val="clear" w:color="auto" w:fill="FFFFFF"/>
        <w:spacing w:line="276" w:lineRule="auto"/>
        <w:ind w:right="1"/>
        <w:jc w:val="both"/>
        <w:rPr>
          <w:rFonts w:ascii="Times New Roman" w:hAnsi="Times New Roman" w:cs="Times New Roman"/>
          <w:sz w:val="24"/>
          <w:szCs w:val="24"/>
        </w:rPr>
      </w:pPr>
    </w:p>
    <w:p w:rsidR="00376D66" w:rsidRPr="003A7448" w:rsidRDefault="00376D66"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8</w:t>
      </w:r>
      <w:r w:rsidR="00073943" w:rsidRPr="003A7448">
        <w:rPr>
          <w:rFonts w:ascii="Times New Roman" w:hAnsi="Times New Roman" w:cs="Times New Roman"/>
          <w:b/>
          <w:sz w:val="24"/>
          <w:szCs w:val="24"/>
        </w:rPr>
        <w:t>.</w:t>
      </w:r>
      <w:r w:rsidR="004116EF" w:rsidRPr="003A7448">
        <w:rPr>
          <w:rFonts w:ascii="Times New Roman" w:hAnsi="Times New Roman" w:cs="Times New Roman"/>
          <w:b/>
          <w:sz w:val="24"/>
          <w:szCs w:val="24"/>
        </w:rPr>
        <w:t xml:space="preserve"> </w:t>
      </w:r>
      <w:r w:rsidR="00E766C8" w:rsidRPr="003A7448">
        <w:rPr>
          <w:rFonts w:ascii="Times New Roman" w:hAnsi="Times New Roman" w:cs="Times New Roman"/>
          <w:b/>
          <w:sz w:val="24"/>
          <w:szCs w:val="24"/>
        </w:rPr>
        <w:t>RUHSAT NUMARASI</w:t>
      </w:r>
    </w:p>
    <w:p w:rsidR="00376D66" w:rsidRPr="003A7448" w:rsidRDefault="00FD09FA"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61/84</w:t>
      </w:r>
    </w:p>
    <w:p w:rsidR="004116EF" w:rsidRPr="003A7448" w:rsidRDefault="004116EF" w:rsidP="009A6DDC">
      <w:pPr>
        <w:shd w:val="clear" w:color="auto" w:fill="FFFFFF"/>
        <w:spacing w:line="276" w:lineRule="auto"/>
        <w:ind w:right="1"/>
        <w:jc w:val="both"/>
        <w:rPr>
          <w:rFonts w:ascii="Times New Roman" w:hAnsi="Times New Roman" w:cs="Times New Roman"/>
          <w:sz w:val="24"/>
          <w:szCs w:val="24"/>
        </w:rPr>
      </w:pPr>
    </w:p>
    <w:p w:rsidR="00E766C8" w:rsidRPr="003A7448" w:rsidRDefault="00376D66"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9</w:t>
      </w:r>
      <w:r w:rsidR="00073943" w:rsidRPr="003A7448">
        <w:rPr>
          <w:rFonts w:ascii="Times New Roman" w:hAnsi="Times New Roman" w:cs="Times New Roman"/>
          <w:b/>
          <w:sz w:val="24"/>
          <w:szCs w:val="24"/>
        </w:rPr>
        <w:t>.</w:t>
      </w:r>
      <w:r w:rsidR="004116EF" w:rsidRPr="003A7448">
        <w:rPr>
          <w:rFonts w:ascii="Times New Roman" w:hAnsi="Times New Roman" w:cs="Times New Roman"/>
          <w:b/>
          <w:sz w:val="24"/>
          <w:szCs w:val="24"/>
        </w:rPr>
        <w:t xml:space="preserve"> </w:t>
      </w:r>
      <w:r w:rsidR="00E766C8" w:rsidRPr="003A7448">
        <w:rPr>
          <w:rFonts w:ascii="Times New Roman" w:hAnsi="Times New Roman" w:cs="Times New Roman"/>
          <w:b/>
          <w:sz w:val="24"/>
          <w:szCs w:val="24"/>
        </w:rPr>
        <w:t>İLK RUHSAT TARİHİ / RUHSAT YENİLEME TARİHİ</w:t>
      </w:r>
    </w:p>
    <w:p w:rsidR="00376D66" w:rsidRPr="003A7448" w:rsidRDefault="00E766C8"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 xml:space="preserve">İlk ruhsat tarihi: </w:t>
      </w:r>
      <w:r w:rsidR="00FD09FA" w:rsidRPr="003A7448">
        <w:rPr>
          <w:rFonts w:ascii="Times New Roman" w:hAnsi="Times New Roman" w:cs="Times New Roman"/>
          <w:sz w:val="24"/>
          <w:szCs w:val="24"/>
        </w:rPr>
        <w:t>09.12.1961</w:t>
      </w:r>
    </w:p>
    <w:p w:rsidR="00E766C8" w:rsidRPr="003A7448" w:rsidRDefault="004116EF" w:rsidP="009A6DDC">
      <w:pPr>
        <w:shd w:val="clear" w:color="auto" w:fill="FFFFFF"/>
        <w:spacing w:line="276" w:lineRule="auto"/>
        <w:ind w:right="1"/>
        <w:jc w:val="both"/>
        <w:rPr>
          <w:rFonts w:ascii="Times New Roman" w:hAnsi="Times New Roman" w:cs="Times New Roman"/>
          <w:sz w:val="24"/>
          <w:szCs w:val="24"/>
        </w:rPr>
      </w:pPr>
      <w:r w:rsidRPr="003A7448">
        <w:rPr>
          <w:rFonts w:ascii="Times New Roman" w:hAnsi="Times New Roman" w:cs="Times New Roman"/>
          <w:sz w:val="24"/>
          <w:szCs w:val="24"/>
        </w:rPr>
        <w:t>Ruhsat yenileme tarihi:</w:t>
      </w:r>
    </w:p>
    <w:p w:rsidR="004116EF" w:rsidRPr="003A7448" w:rsidRDefault="004116EF" w:rsidP="009A6DDC">
      <w:pPr>
        <w:shd w:val="clear" w:color="auto" w:fill="FFFFFF"/>
        <w:spacing w:line="276" w:lineRule="auto"/>
        <w:ind w:right="1"/>
        <w:jc w:val="both"/>
        <w:rPr>
          <w:rFonts w:ascii="Times New Roman" w:hAnsi="Times New Roman" w:cs="Times New Roman"/>
          <w:sz w:val="24"/>
          <w:szCs w:val="24"/>
        </w:rPr>
      </w:pPr>
    </w:p>
    <w:p w:rsidR="00F345F0" w:rsidRPr="003A7448" w:rsidRDefault="00E766C8" w:rsidP="009A6DDC">
      <w:pPr>
        <w:shd w:val="clear" w:color="auto" w:fill="FFFFFF"/>
        <w:spacing w:line="276" w:lineRule="auto"/>
        <w:ind w:right="1"/>
        <w:jc w:val="both"/>
        <w:rPr>
          <w:rFonts w:ascii="Times New Roman" w:hAnsi="Times New Roman" w:cs="Times New Roman"/>
          <w:b/>
          <w:sz w:val="24"/>
          <w:szCs w:val="24"/>
        </w:rPr>
      </w:pPr>
      <w:r w:rsidRPr="003A7448">
        <w:rPr>
          <w:rFonts w:ascii="Times New Roman" w:hAnsi="Times New Roman" w:cs="Times New Roman"/>
          <w:b/>
          <w:sz w:val="24"/>
          <w:szCs w:val="24"/>
        </w:rPr>
        <w:t>10.</w:t>
      </w:r>
      <w:r w:rsidR="000F1413" w:rsidRPr="003A7448">
        <w:rPr>
          <w:rFonts w:ascii="Times New Roman" w:hAnsi="Times New Roman" w:cs="Times New Roman"/>
          <w:b/>
          <w:sz w:val="24"/>
          <w:szCs w:val="24"/>
        </w:rPr>
        <w:t xml:space="preserve"> </w:t>
      </w:r>
      <w:r w:rsidRPr="003A7448">
        <w:rPr>
          <w:rFonts w:ascii="Times New Roman" w:hAnsi="Times New Roman" w:cs="Times New Roman"/>
          <w:b/>
          <w:sz w:val="24"/>
          <w:szCs w:val="24"/>
        </w:rPr>
        <w:t>KÜB'ÜN YENİLENME TARİHİ</w:t>
      </w:r>
    </w:p>
    <w:p w:rsidR="001E4954" w:rsidRPr="003A7448" w:rsidRDefault="001E4954" w:rsidP="009A6DDC">
      <w:pPr>
        <w:shd w:val="clear" w:color="auto" w:fill="FFFFFF"/>
        <w:spacing w:line="276" w:lineRule="auto"/>
        <w:ind w:right="1"/>
        <w:jc w:val="both"/>
        <w:rPr>
          <w:rFonts w:ascii="Times New Roman" w:hAnsi="Times New Roman" w:cs="Times New Roman"/>
          <w:b/>
          <w:sz w:val="24"/>
          <w:szCs w:val="24"/>
        </w:rPr>
      </w:pPr>
    </w:p>
    <w:p w:rsidR="001E4954" w:rsidRPr="003A7448" w:rsidRDefault="001E4954" w:rsidP="009A6DDC">
      <w:pPr>
        <w:shd w:val="clear" w:color="auto" w:fill="FFFFFF"/>
        <w:spacing w:line="276" w:lineRule="auto"/>
        <w:ind w:right="1"/>
        <w:jc w:val="both"/>
        <w:rPr>
          <w:rFonts w:ascii="Times New Roman" w:hAnsi="Times New Roman" w:cs="Times New Roman"/>
          <w:b/>
          <w:sz w:val="24"/>
          <w:szCs w:val="24"/>
        </w:rPr>
      </w:pPr>
    </w:p>
    <w:p w:rsidR="001E4954" w:rsidRPr="003A7448" w:rsidRDefault="001E4954" w:rsidP="009A6DDC">
      <w:pPr>
        <w:shd w:val="clear" w:color="auto" w:fill="FFFFFF"/>
        <w:spacing w:line="276" w:lineRule="auto"/>
        <w:ind w:right="1"/>
        <w:jc w:val="both"/>
        <w:rPr>
          <w:rFonts w:ascii="Times New Roman" w:hAnsi="Times New Roman" w:cs="Times New Roman"/>
          <w:sz w:val="24"/>
          <w:szCs w:val="24"/>
        </w:rPr>
      </w:pPr>
    </w:p>
    <w:sectPr w:rsidR="001E4954" w:rsidRPr="003A7448" w:rsidSect="0024074C">
      <w:footerReference w:type="default" r:id="rId8"/>
      <w:type w:val="continuous"/>
      <w:pgSz w:w="11909" w:h="16834"/>
      <w:pgMar w:top="1418" w:right="1418" w:bottom="1418" w:left="1418" w:header="708" w:footer="708"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ED9" w:rsidRDefault="000D6ED9" w:rsidP="003A4A5D">
      <w:r>
        <w:separator/>
      </w:r>
    </w:p>
  </w:endnote>
  <w:endnote w:type="continuationSeparator" w:id="0">
    <w:p w:rsidR="000D6ED9" w:rsidRDefault="000D6ED9" w:rsidP="003A4A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20000287" w:usb1="00000000" w:usb2="00000000" w:usb3="00000000" w:csb0="0000019F" w:csb1="00000000"/>
  </w:font>
  <w:font w:name="Calibri">
    <w:panose1 w:val="020F0502020204030204"/>
    <w:charset w:val="A2"/>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81955"/>
      <w:docPartObj>
        <w:docPartGallery w:val="Page Numbers (Bottom of Page)"/>
        <w:docPartUnique/>
      </w:docPartObj>
    </w:sdtPr>
    <w:sdtContent>
      <w:sdt>
        <w:sdtPr>
          <w:id w:val="861459903"/>
          <w:docPartObj>
            <w:docPartGallery w:val="Page Numbers (Top of Page)"/>
            <w:docPartUnique/>
          </w:docPartObj>
        </w:sdtPr>
        <w:sdtContent>
          <w:p w:rsidR="00066D97" w:rsidRDefault="00480B98">
            <w:pPr>
              <w:pStyle w:val="Altbilgi"/>
              <w:jc w:val="right"/>
            </w:pPr>
            <w:r>
              <w:rPr>
                <w:b/>
                <w:sz w:val="24"/>
                <w:szCs w:val="24"/>
              </w:rPr>
              <w:fldChar w:fldCharType="begin"/>
            </w:r>
            <w:r w:rsidR="00066D97">
              <w:rPr>
                <w:b/>
              </w:rPr>
              <w:instrText>PAGE</w:instrText>
            </w:r>
            <w:r>
              <w:rPr>
                <w:b/>
                <w:sz w:val="24"/>
                <w:szCs w:val="24"/>
              </w:rPr>
              <w:fldChar w:fldCharType="separate"/>
            </w:r>
            <w:r w:rsidR="003A7448">
              <w:rPr>
                <w:b/>
                <w:noProof/>
              </w:rPr>
              <w:t>5</w:t>
            </w:r>
            <w:r>
              <w:rPr>
                <w:b/>
                <w:sz w:val="24"/>
                <w:szCs w:val="24"/>
              </w:rPr>
              <w:fldChar w:fldCharType="end"/>
            </w:r>
            <w:r w:rsidR="00066D97">
              <w:t xml:space="preserve"> / </w:t>
            </w:r>
            <w:r>
              <w:rPr>
                <w:b/>
                <w:sz w:val="24"/>
                <w:szCs w:val="24"/>
              </w:rPr>
              <w:fldChar w:fldCharType="begin"/>
            </w:r>
            <w:r w:rsidR="00066D97">
              <w:rPr>
                <w:b/>
              </w:rPr>
              <w:instrText>NUMPAGES</w:instrText>
            </w:r>
            <w:r>
              <w:rPr>
                <w:b/>
                <w:sz w:val="24"/>
                <w:szCs w:val="24"/>
              </w:rPr>
              <w:fldChar w:fldCharType="separate"/>
            </w:r>
            <w:r w:rsidR="003A7448">
              <w:rPr>
                <w:b/>
                <w:noProof/>
              </w:rPr>
              <w:t>7</w:t>
            </w:r>
            <w:r>
              <w:rPr>
                <w:b/>
                <w:sz w:val="24"/>
                <w:szCs w:val="24"/>
              </w:rPr>
              <w:fldChar w:fldCharType="end"/>
            </w:r>
          </w:p>
        </w:sdtContent>
      </w:sdt>
    </w:sdtContent>
  </w:sdt>
  <w:p w:rsidR="00066D97" w:rsidRDefault="00066D9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ED9" w:rsidRDefault="000D6ED9" w:rsidP="003A4A5D">
      <w:r>
        <w:separator/>
      </w:r>
    </w:p>
  </w:footnote>
  <w:footnote w:type="continuationSeparator" w:id="0">
    <w:p w:rsidR="000D6ED9" w:rsidRDefault="000D6ED9" w:rsidP="003A4A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9EA600"/>
    <w:lvl w:ilvl="0">
      <w:numFmt w:val="bullet"/>
      <w:lvlText w:val="*"/>
      <w:lvlJc w:val="left"/>
    </w:lvl>
  </w:abstractNum>
  <w:abstractNum w:abstractNumId="1">
    <w:nsid w:val="0C75252A"/>
    <w:multiLevelType w:val="hybridMultilevel"/>
    <w:tmpl w:val="D30CE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364CF9"/>
    <w:multiLevelType w:val="hybridMultilevel"/>
    <w:tmpl w:val="3D929B5C"/>
    <w:lvl w:ilvl="0" w:tplc="7E7CC3BA">
      <w:start w:val="65535"/>
      <w:numFmt w:val="bullet"/>
      <w:lvlText w:val="-"/>
      <w:lvlJc w:val="left"/>
      <w:pPr>
        <w:ind w:left="720" w:hanging="360"/>
      </w:pPr>
      <w:rPr>
        <w:rFonts w:ascii="Verdana" w:hAnsi="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2DC4385"/>
    <w:multiLevelType w:val="singleLevel"/>
    <w:tmpl w:val="0F8260E6"/>
    <w:lvl w:ilvl="0">
      <w:start w:val="8"/>
      <w:numFmt w:val="decimal"/>
      <w:lvlText w:val="%1."/>
      <w:legacy w:legacy="1" w:legacySpace="0" w:legacyIndent="206"/>
      <w:lvlJc w:val="left"/>
      <w:rPr>
        <w:rFonts w:ascii="Verdana" w:hAnsi="Verdana" w:hint="default"/>
      </w:rPr>
    </w:lvl>
  </w:abstractNum>
  <w:abstractNum w:abstractNumId="4">
    <w:nsid w:val="47AE0F73"/>
    <w:multiLevelType w:val="hybridMultilevel"/>
    <w:tmpl w:val="AB045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AF8255F"/>
    <w:multiLevelType w:val="hybridMultilevel"/>
    <w:tmpl w:val="D5F83EAA"/>
    <w:lvl w:ilvl="0" w:tplc="7E7CC3BA">
      <w:start w:val="65535"/>
      <w:numFmt w:val="bullet"/>
      <w:lvlText w:val="-"/>
      <w:lvlJc w:val="left"/>
      <w:pPr>
        <w:ind w:left="720" w:hanging="360"/>
      </w:pPr>
      <w:rPr>
        <w:rFonts w:ascii="Verdana" w:hAnsi="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7E21BC4"/>
    <w:multiLevelType w:val="hybridMultilevel"/>
    <w:tmpl w:val="EA08F7D8"/>
    <w:lvl w:ilvl="0" w:tplc="041F0001">
      <w:start w:val="1"/>
      <w:numFmt w:val="bullet"/>
      <w:lvlText w:val=""/>
      <w:lvlJc w:val="left"/>
      <w:pPr>
        <w:ind w:left="725" w:hanging="360"/>
      </w:pPr>
      <w:rPr>
        <w:rFonts w:ascii="Symbol" w:hAnsi="Symbol" w:hint="default"/>
      </w:rPr>
    </w:lvl>
    <w:lvl w:ilvl="1" w:tplc="041F0003" w:tentative="1">
      <w:start w:val="1"/>
      <w:numFmt w:val="bullet"/>
      <w:lvlText w:val="o"/>
      <w:lvlJc w:val="left"/>
      <w:pPr>
        <w:ind w:left="1445" w:hanging="360"/>
      </w:pPr>
      <w:rPr>
        <w:rFonts w:ascii="Courier New" w:hAnsi="Courier New" w:cs="Courier New" w:hint="default"/>
      </w:rPr>
    </w:lvl>
    <w:lvl w:ilvl="2" w:tplc="041F0005" w:tentative="1">
      <w:start w:val="1"/>
      <w:numFmt w:val="bullet"/>
      <w:lvlText w:val=""/>
      <w:lvlJc w:val="left"/>
      <w:pPr>
        <w:ind w:left="2165" w:hanging="360"/>
      </w:pPr>
      <w:rPr>
        <w:rFonts w:ascii="Wingdings" w:hAnsi="Wingdings" w:hint="default"/>
      </w:rPr>
    </w:lvl>
    <w:lvl w:ilvl="3" w:tplc="041F0001" w:tentative="1">
      <w:start w:val="1"/>
      <w:numFmt w:val="bullet"/>
      <w:lvlText w:val=""/>
      <w:lvlJc w:val="left"/>
      <w:pPr>
        <w:ind w:left="2885" w:hanging="360"/>
      </w:pPr>
      <w:rPr>
        <w:rFonts w:ascii="Symbol" w:hAnsi="Symbol" w:hint="default"/>
      </w:rPr>
    </w:lvl>
    <w:lvl w:ilvl="4" w:tplc="041F0003" w:tentative="1">
      <w:start w:val="1"/>
      <w:numFmt w:val="bullet"/>
      <w:lvlText w:val="o"/>
      <w:lvlJc w:val="left"/>
      <w:pPr>
        <w:ind w:left="3605" w:hanging="360"/>
      </w:pPr>
      <w:rPr>
        <w:rFonts w:ascii="Courier New" w:hAnsi="Courier New" w:cs="Courier New" w:hint="default"/>
      </w:rPr>
    </w:lvl>
    <w:lvl w:ilvl="5" w:tplc="041F0005" w:tentative="1">
      <w:start w:val="1"/>
      <w:numFmt w:val="bullet"/>
      <w:lvlText w:val=""/>
      <w:lvlJc w:val="left"/>
      <w:pPr>
        <w:ind w:left="4325" w:hanging="360"/>
      </w:pPr>
      <w:rPr>
        <w:rFonts w:ascii="Wingdings" w:hAnsi="Wingdings" w:hint="default"/>
      </w:rPr>
    </w:lvl>
    <w:lvl w:ilvl="6" w:tplc="041F0001" w:tentative="1">
      <w:start w:val="1"/>
      <w:numFmt w:val="bullet"/>
      <w:lvlText w:val=""/>
      <w:lvlJc w:val="left"/>
      <w:pPr>
        <w:ind w:left="5045" w:hanging="360"/>
      </w:pPr>
      <w:rPr>
        <w:rFonts w:ascii="Symbol" w:hAnsi="Symbol" w:hint="default"/>
      </w:rPr>
    </w:lvl>
    <w:lvl w:ilvl="7" w:tplc="041F0003" w:tentative="1">
      <w:start w:val="1"/>
      <w:numFmt w:val="bullet"/>
      <w:lvlText w:val="o"/>
      <w:lvlJc w:val="left"/>
      <w:pPr>
        <w:ind w:left="5765" w:hanging="360"/>
      </w:pPr>
      <w:rPr>
        <w:rFonts w:ascii="Courier New" w:hAnsi="Courier New" w:cs="Courier New" w:hint="default"/>
      </w:rPr>
    </w:lvl>
    <w:lvl w:ilvl="8" w:tplc="041F0005" w:tentative="1">
      <w:start w:val="1"/>
      <w:numFmt w:val="bullet"/>
      <w:lvlText w:val=""/>
      <w:lvlJc w:val="left"/>
      <w:pPr>
        <w:ind w:left="6485" w:hanging="360"/>
      </w:pPr>
      <w:rPr>
        <w:rFonts w:ascii="Wingdings" w:hAnsi="Wingdings" w:hint="default"/>
      </w:rPr>
    </w:lvl>
  </w:abstractNum>
  <w:abstractNum w:abstractNumId="7">
    <w:nsid w:val="6A29761B"/>
    <w:multiLevelType w:val="hybridMultilevel"/>
    <w:tmpl w:val="D74640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07796B"/>
    <w:multiLevelType w:val="singleLevel"/>
    <w:tmpl w:val="A3043914"/>
    <w:lvl w:ilvl="0">
      <w:start w:val="1"/>
      <w:numFmt w:val="decimal"/>
      <w:lvlText w:val="%1."/>
      <w:legacy w:legacy="1" w:legacySpace="0" w:legacyIndent="312"/>
      <w:lvlJc w:val="left"/>
      <w:rPr>
        <w:rFonts w:ascii="Verdana" w:hAnsi="Verdana" w:hint="default"/>
      </w:rPr>
    </w:lvl>
  </w:abstractNum>
  <w:num w:numId="1">
    <w:abstractNumId w:val="0"/>
    <w:lvlOverride w:ilvl="0">
      <w:lvl w:ilvl="0">
        <w:start w:val="65535"/>
        <w:numFmt w:val="bullet"/>
        <w:lvlText w:val="•"/>
        <w:legacy w:legacy="1" w:legacySpace="0" w:legacyIndent="308"/>
        <w:lvlJc w:val="left"/>
        <w:rPr>
          <w:rFonts w:ascii="Verdana" w:hAnsi="Verdana" w:hint="default"/>
        </w:rPr>
      </w:lvl>
    </w:lvlOverride>
  </w:num>
  <w:num w:numId="2">
    <w:abstractNumId w:val="3"/>
  </w:num>
  <w:num w:numId="3">
    <w:abstractNumId w:val="0"/>
    <w:lvlOverride w:ilvl="0">
      <w:lvl w:ilvl="0">
        <w:start w:val="65535"/>
        <w:numFmt w:val="bullet"/>
        <w:lvlText w:val="•"/>
        <w:legacy w:legacy="1" w:legacySpace="0" w:legacyIndent="288"/>
        <w:lvlJc w:val="left"/>
        <w:rPr>
          <w:rFonts w:ascii="Verdana" w:hAnsi="Verdana" w:hint="default"/>
        </w:rPr>
      </w:lvl>
    </w:lvlOverride>
  </w:num>
  <w:num w:numId="4">
    <w:abstractNumId w:val="8"/>
  </w:num>
  <w:num w:numId="5">
    <w:abstractNumId w:val="0"/>
    <w:lvlOverride w:ilvl="0">
      <w:lvl w:ilvl="0">
        <w:start w:val="65535"/>
        <w:numFmt w:val="bullet"/>
        <w:lvlText w:val="-"/>
        <w:legacy w:legacy="1" w:legacySpace="0" w:legacyIndent="307"/>
        <w:lvlJc w:val="left"/>
        <w:rPr>
          <w:rFonts w:ascii="Verdana" w:hAnsi="Verdana" w:hint="default"/>
        </w:rPr>
      </w:lvl>
    </w:lvlOverride>
  </w:num>
  <w:num w:numId="6">
    <w:abstractNumId w:val="0"/>
    <w:lvlOverride w:ilvl="0">
      <w:lvl w:ilvl="0">
        <w:start w:val="65535"/>
        <w:numFmt w:val="bullet"/>
        <w:lvlText w:val="•"/>
        <w:legacy w:legacy="1" w:legacySpace="0" w:legacyIndent="192"/>
        <w:lvlJc w:val="left"/>
        <w:rPr>
          <w:rFonts w:ascii="Verdana" w:hAnsi="Verdana" w:hint="default"/>
        </w:rPr>
      </w:lvl>
    </w:lvlOverride>
  </w:num>
  <w:num w:numId="7">
    <w:abstractNumId w:val="6"/>
  </w:num>
  <w:num w:numId="8">
    <w:abstractNumId w:val="5"/>
  </w:num>
  <w:num w:numId="9">
    <w:abstractNumId w:val="2"/>
  </w:num>
  <w:num w:numId="10">
    <w:abstractNumId w:val="1"/>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E766C8"/>
    <w:rsid w:val="00006828"/>
    <w:rsid w:val="0003774C"/>
    <w:rsid w:val="00041B3C"/>
    <w:rsid w:val="00066D97"/>
    <w:rsid w:val="00073943"/>
    <w:rsid w:val="000B357B"/>
    <w:rsid w:val="000C014B"/>
    <w:rsid w:val="000D073F"/>
    <w:rsid w:val="000D6929"/>
    <w:rsid w:val="000D6ED9"/>
    <w:rsid w:val="000F1413"/>
    <w:rsid w:val="00102C7E"/>
    <w:rsid w:val="00104D46"/>
    <w:rsid w:val="001136DD"/>
    <w:rsid w:val="001146E7"/>
    <w:rsid w:val="00136C59"/>
    <w:rsid w:val="00141850"/>
    <w:rsid w:val="00142DF5"/>
    <w:rsid w:val="00151ED6"/>
    <w:rsid w:val="00190D5F"/>
    <w:rsid w:val="001940AB"/>
    <w:rsid w:val="001B19DF"/>
    <w:rsid w:val="001C01E5"/>
    <w:rsid w:val="001C159A"/>
    <w:rsid w:val="001D14F1"/>
    <w:rsid w:val="001E4954"/>
    <w:rsid w:val="00214F9D"/>
    <w:rsid w:val="0024074C"/>
    <w:rsid w:val="002579C8"/>
    <w:rsid w:val="00273C0E"/>
    <w:rsid w:val="002C3930"/>
    <w:rsid w:val="002C6CC1"/>
    <w:rsid w:val="002D387C"/>
    <w:rsid w:val="002E7A6E"/>
    <w:rsid w:val="0030017E"/>
    <w:rsid w:val="0034213C"/>
    <w:rsid w:val="003500A2"/>
    <w:rsid w:val="00352000"/>
    <w:rsid w:val="00362DAD"/>
    <w:rsid w:val="003751DE"/>
    <w:rsid w:val="00376D66"/>
    <w:rsid w:val="0038024F"/>
    <w:rsid w:val="00391888"/>
    <w:rsid w:val="003A4A5D"/>
    <w:rsid w:val="003A5E8A"/>
    <w:rsid w:val="003A7448"/>
    <w:rsid w:val="003C0C9A"/>
    <w:rsid w:val="003C0CC3"/>
    <w:rsid w:val="003C1C4C"/>
    <w:rsid w:val="003E50E4"/>
    <w:rsid w:val="003E64B8"/>
    <w:rsid w:val="0040493D"/>
    <w:rsid w:val="004116EF"/>
    <w:rsid w:val="00437730"/>
    <w:rsid w:val="004438FB"/>
    <w:rsid w:val="00447A7D"/>
    <w:rsid w:val="00480B98"/>
    <w:rsid w:val="0049695D"/>
    <w:rsid w:val="004A0B31"/>
    <w:rsid w:val="004A3E53"/>
    <w:rsid w:val="004C60CC"/>
    <w:rsid w:val="004D2E1C"/>
    <w:rsid w:val="004D5C20"/>
    <w:rsid w:val="005358AD"/>
    <w:rsid w:val="00552F56"/>
    <w:rsid w:val="00572766"/>
    <w:rsid w:val="0058477E"/>
    <w:rsid w:val="005A5A5E"/>
    <w:rsid w:val="005B2D69"/>
    <w:rsid w:val="005D51E4"/>
    <w:rsid w:val="00600B0B"/>
    <w:rsid w:val="00621A66"/>
    <w:rsid w:val="00640DA7"/>
    <w:rsid w:val="00661B19"/>
    <w:rsid w:val="006716BA"/>
    <w:rsid w:val="0067231F"/>
    <w:rsid w:val="006826DE"/>
    <w:rsid w:val="006855A7"/>
    <w:rsid w:val="00692366"/>
    <w:rsid w:val="006A4207"/>
    <w:rsid w:val="006B25CC"/>
    <w:rsid w:val="006C145E"/>
    <w:rsid w:val="006C455B"/>
    <w:rsid w:val="006F7B3F"/>
    <w:rsid w:val="007024D3"/>
    <w:rsid w:val="00723846"/>
    <w:rsid w:val="00725C28"/>
    <w:rsid w:val="00735465"/>
    <w:rsid w:val="007A3210"/>
    <w:rsid w:val="007D7ACA"/>
    <w:rsid w:val="007E41CF"/>
    <w:rsid w:val="00805728"/>
    <w:rsid w:val="00806A62"/>
    <w:rsid w:val="00807723"/>
    <w:rsid w:val="00820B42"/>
    <w:rsid w:val="00827470"/>
    <w:rsid w:val="00835428"/>
    <w:rsid w:val="008634AB"/>
    <w:rsid w:val="00870DA1"/>
    <w:rsid w:val="008844EE"/>
    <w:rsid w:val="0089443B"/>
    <w:rsid w:val="008D2197"/>
    <w:rsid w:val="008D737C"/>
    <w:rsid w:val="008F7994"/>
    <w:rsid w:val="0090260C"/>
    <w:rsid w:val="00905C0A"/>
    <w:rsid w:val="00913936"/>
    <w:rsid w:val="0091758B"/>
    <w:rsid w:val="0092210F"/>
    <w:rsid w:val="00951AB7"/>
    <w:rsid w:val="00951FD8"/>
    <w:rsid w:val="009550E4"/>
    <w:rsid w:val="00961F9A"/>
    <w:rsid w:val="009743A0"/>
    <w:rsid w:val="00985C90"/>
    <w:rsid w:val="00995B1D"/>
    <w:rsid w:val="009A267F"/>
    <w:rsid w:val="009A6DDC"/>
    <w:rsid w:val="009C3EAB"/>
    <w:rsid w:val="009C5EFE"/>
    <w:rsid w:val="009F7118"/>
    <w:rsid w:val="00A14D29"/>
    <w:rsid w:val="00A16525"/>
    <w:rsid w:val="00A167E4"/>
    <w:rsid w:val="00A22354"/>
    <w:rsid w:val="00A247AA"/>
    <w:rsid w:val="00A30349"/>
    <w:rsid w:val="00A3603E"/>
    <w:rsid w:val="00A47824"/>
    <w:rsid w:val="00A50910"/>
    <w:rsid w:val="00A90A20"/>
    <w:rsid w:val="00AA27DF"/>
    <w:rsid w:val="00AB4317"/>
    <w:rsid w:val="00AC4FBA"/>
    <w:rsid w:val="00AD7C9F"/>
    <w:rsid w:val="00AE3EF4"/>
    <w:rsid w:val="00AF548A"/>
    <w:rsid w:val="00B05EB0"/>
    <w:rsid w:val="00B26961"/>
    <w:rsid w:val="00B33026"/>
    <w:rsid w:val="00B446A0"/>
    <w:rsid w:val="00B5308D"/>
    <w:rsid w:val="00B610F1"/>
    <w:rsid w:val="00B61945"/>
    <w:rsid w:val="00B84D23"/>
    <w:rsid w:val="00BC426A"/>
    <w:rsid w:val="00BC4ED9"/>
    <w:rsid w:val="00BD167E"/>
    <w:rsid w:val="00BD172B"/>
    <w:rsid w:val="00BD4D26"/>
    <w:rsid w:val="00BE0900"/>
    <w:rsid w:val="00BF36C5"/>
    <w:rsid w:val="00C03BB2"/>
    <w:rsid w:val="00C24818"/>
    <w:rsid w:val="00C31036"/>
    <w:rsid w:val="00C42B1A"/>
    <w:rsid w:val="00C51666"/>
    <w:rsid w:val="00C62570"/>
    <w:rsid w:val="00C703E7"/>
    <w:rsid w:val="00C975BA"/>
    <w:rsid w:val="00CA4827"/>
    <w:rsid w:val="00CB5ED7"/>
    <w:rsid w:val="00CC414C"/>
    <w:rsid w:val="00CD0B9E"/>
    <w:rsid w:val="00CD6729"/>
    <w:rsid w:val="00CE5530"/>
    <w:rsid w:val="00CF4A94"/>
    <w:rsid w:val="00D04BDD"/>
    <w:rsid w:val="00D16997"/>
    <w:rsid w:val="00D325D3"/>
    <w:rsid w:val="00D432B2"/>
    <w:rsid w:val="00D63B0C"/>
    <w:rsid w:val="00D65714"/>
    <w:rsid w:val="00D65741"/>
    <w:rsid w:val="00D76C13"/>
    <w:rsid w:val="00D928EA"/>
    <w:rsid w:val="00DD6FC9"/>
    <w:rsid w:val="00DE33C0"/>
    <w:rsid w:val="00DF2AD7"/>
    <w:rsid w:val="00DF2F97"/>
    <w:rsid w:val="00DF30AB"/>
    <w:rsid w:val="00E40C91"/>
    <w:rsid w:val="00E44247"/>
    <w:rsid w:val="00E50FE0"/>
    <w:rsid w:val="00E57F85"/>
    <w:rsid w:val="00E70CD3"/>
    <w:rsid w:val="00E766C8"/>
    <w:rsid w:val="00E928B0"/>
    <w:rsid w:val="00E97FF1"/>
    <w:rsid w:val="00EA2136"/>
    <w:rsid w:val="00EA27B7"/>
    <w:rsid w:val="00EC529E"/>
    <w:rsid w:val="00EE53E6"/>
    <w:rsid w:val="00EF6B74"/>
    <w:rsid w:val="00F03B1C"/>
    <w:rsid w:val="00F10157"/>
    <w:rsid w:val="00F345F0"/>
    <w:rsid w:val="00F36EF2"/>
    <w:rsid w:val="00F4006E"/>
    <w:rsid w:val="00F400A6"/>
    <w:rsid w:val="00F46904"/>
    <w:rsid w:val="00F4755A"/>
    <w:rsid w:val="00F55D32"/>
    <w:rsid w:val="00F818F5"/>
    <w:rsid w:val="00F8343B"/>
    <w:rsid w:val="00FB416B"/>
    <w:rsid w:val="00FC6041"/>
    <w:rsid w:val="00FD09FA"/>
    <w:rsid w:val="00FD621A"/>
    <w:rsid w:val="00FD71CE"/>
    <w:rsid w:val="00FE1B1E"/>
    <w:rsid w:val="00FE38FB"/>
    <w:rsid w:val="00FF32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6C8"/>
    <w:pPr>
      <w:widowControl w:val="0"/>
      <w:autoSpaceDE w:val="0"/>
      <w:autoSpaceDN w:val="0"/>
      <w:adjustRightInd w:val="0"/>
      <w:spacing w:after="0" w:line="240" w:lineRule="auto"/>
    </w:pPr>
    <w:rPr>
      <w:rFonts w:ascii="Verdana" w:eastAsiaTheme="minorEastAsia" w:hAnsi="Verdana" w:cs="Verdan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387C"/>
    <w:pPr>
      <w:ind w:left="720"/>
      <w:contextualSpacing/>
    </w:pPr>
  </w:style>
  <w:style w:type="paragraph" w:customStyle="1" w:styleId="Style5">
    <w:name w:val="Style5"/>
    <w:basedOn w:val="Normal"/>
    <w:uiPriority w:val="99"/>
    <w:rsid w:val="00BD4D26"/>
    <w:pPr>
      <w:widowControl/>
      <w:adjustRightInd/>
      <w:spacing w:line="389" w:lineRule="exact"/>
      <w:jc w:val="both"/>
    </w:pPr>
    <w:rPr>
      <w:rFonts w:ascii="Arial Unicode MS" w:eastAsia="Arial Unicode MS" w:hAnsi="Arial Unicode MS" w:cs="Arial Unicode MS"/>
      <w:sz w:val="24"/>
      <w:szCs w:val="24"/>
    </w:rPr>
  </w:style>
  <w:style w:type="paragraph" w:styleId="stbilgi">
    <w:name w:val="header"/>
    <w:basedOn w:val="Normal"/>
    <w:link w:val="stbilgiChar"/>
    <w:uiPriority w:val="99"/>
    <w:semiHidden/>
    <w:unhideWhenUsed/>
    <w:rsid w:val="003A4A5D"/>
    <w:pPr>
      <w:tabs>
        <w:tab w:val="center" w:pos="4536"/>
        <w:tab w:val="right" w:pos="9072"/>
      </w:tabs>
    </w:pPr>
  </w:style>
  <w:style w:type="character" w:customStyle="1" w:styleId="stbilgiChar">
    <w:name w:val="Üstbilgi Char"/>
    <w:basedOn w:val="VarsaylanParagrafYazTipi"/>
    <w:link w:val="stbilgi"/>
    <w:uiPriority w:val="99"/>
    <w:semiHidden/>
    <w:rsid w:val="003A4A5D"/>
    <w:rPr>
      <w:rFonts w:ascii="Verdana" w:eastAsiaTheme="minorEastAsia" w:hAnsi="Verdana" w:cs="Verdana"/>
      <w:sz w:val="20"/>
      <w:szCs w:val="20"/>
      <w:lang w:eastAsia="tr-TR"/>
    </w:rPr>
  </w:style>
  <w:style w:type="paragraph" w:styleId="Altbilgi">
    <w:name w:val="footer"/>
    <w:basedOn w:val="Normal"/>
    <w:link w:val="AltbilgiChar"/>
    <w:uiPriority w:val="99"/>
    <w:unhideWhenUsed/>
    <w:rsid w:val="003A4A5D"/>
    <w:pPr>
      <w:tabs>
        <w:tab w:val="center" w:pos="4536"/>
        <w:tab w:val="right" w:pos="9072"/>
      </w:tabs>
    </w:pPr>
  </w:style>
  <w:style w:type="character" w:customStyle="1" w:styleId="AltbilgiChar">
    <w:name w:val="Altbilgi Char"/>
    <w:basedOn w:val="VarsaylanParagrafYazTipi"/>
    <w:link w:val="Altbilgi"/>
    <w:uiPriority w:val="99"/>
    <w:rsid w:val="003A4A5D"/>
    <w:rPr>
      <w:rFonts w:ascii="Verdana" w:eastAsiaTheme="minorEastAsia" w:hAnsi="Verdana" w:cs="Verdana"/>
      <w:sz w:val="20"/>
      <w:szCs w:val="20"/>
      <w:lang w:eastAsia="tr-TR"/>
    </w:rPr>
  </w:style>
  <w:style w:type="character" w:customStyle="1" w:styleId="hps">
    <w:name w:val="hps"/>
    <w:basedOn w:val="VarsaylanParagrafYazTipi"/>
    <w:rsid w:val="00572766"/>
  </w:style>
  <w:style w:type="character" w:customStyle="1" w:styleId="atn">
    <w:name w:val="atn"/>
    <w:basedOn w:val="VarsaylanParagrafYazTipi"/>
    <w:rsid w:val="00A167E4"/>
  </w:style>
  <w:style w:type="paragraph" w:styleId="NormalWeb">
    <w:name w:val="Normal (Web)"/>
    <w:basedOn w:val="Normal"/>
    <w:uiPriority w:val="99"/>
    <w:semiHidden/>
    <w:unhideWhenUsed/>
    <w:rsid w:val="00FB416B"/>
    <w:pPr>
      <w:widowControl/>
      <w:autoSpaceDE/>
      <w:autoSpaceDN/>
      <w:adjustRightInd/>
      <w:spacing w:before="100" w:beforeAutospacing="1" w:after="75"/>
    </w:pPr>
    <w:rPr>
      <w:rFonts w:ascii="Times New Roman" w:eastAsia="Times New Roman" w:hAnsi="Times New Roman" w:cs="Times New Roman"/>
      <w:color w:val="000000"/>
      <w:sz w:val="24"/>
      <w:szCs w:val="24"/>
    </w:rPr>
  </w:style>
  <w:style w:type="character" w:customStyle="1" w:styleId="longtext">
    <w:name w:val="long_text"/>
    <w:basedOn w:val="VarsaylanParagrafYazTipi"/>
    <w:rsid w:val="000D6929"/>
  </w:style>
</w:styles>
</file>

<file path=word/webSettings.xml><?xml version="1.0" encoding="utf-8"?>
<w:webSettings xmlns:r="http://schemas.openxmlformats.org/officeDocument/2006/relationships" xmlns:w="http://schemas.openxmlformats.org/wordprocessingml/2006/main">
  <w:divs>
    <w:div w:id="230315499">
      <w:bodyDiv w:val="1"/>
      <w:marLeft w:val="0"/>
      <w:marRight w:val="0"/>
      <w:marTop w:val="0"/>
      <w:marBottom w:val="0"/>
      <w:divBdr>
        <w:top w:val="none" w:sz="0" w:space="0" w:color="auto"/>
        <w:left w:val="none" w:sz="0" w:space="0" w:color="auto"/>
        <w:bottom w:val="none" w:sz="0" w:space="0" w:color="auto"/>
        <w:right w:val="none" w:sz="0" w:space="0" w:color="auto"/>
      </w:divBdr>
    </w:div>
    <w:div w:id="238950661">
      <w:bodyDiv w:val="1"/>
      <w:marLeft w:val="0"/>
      <w:marRight w:val="0"/>
      <w:marTop w:val="0"/>
      <w:marBottom w:val="0"/>
      <w:divBdr>
        <w:top w:val="none" w:sz="0" w:space="0" w:color="auto"/>
        <w:left w:val="none" w:sz="0" w:space="0" w:color="auto"/>
        <w:bottom w:val="none" w:sz="0" w:space="0" w:color="auto"/>
        <w:right w:val="none" w:sz="0" w:space="0" w:color="auto"/>
      </w:divBdr>
    </w:div>
    <w:div w:id="632368376">
      <w:bodyDiv w:val="1"/>
      <w:marLeft w:val="0"/>
      <w:marRight w:val="0"/>
      <w:marTop w:val="0"/>
      <w:marBottom w:val="0"/>
      <w:divBdr>
        <w:top w:val="none" w:sz="0" w:space="0" w:color="auto"/>
        <w:left w:val="none" w:sz="0" w:space="0" w:color="auto"/>
        <w:bottom w:val="none" w:sz="0" w:space="0" w:color="auto"/>
        <w:right w:val="none" w:sz="0" w:space="0" w:color="auto"/>
      </w:divBdr>
    </w:div>
    <w:div w:id="204859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FBD78-1C85-441E-9B4C-4FAF9B4E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Pages>
  <Words>2005</Words>
  <Characters>11435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13414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silter</dc:creator>
  <cp:keywords/>
  <dc:description/>
  <cp:lastModifiedBy>mozdogan</cp:lastModifiedBy>
  <cp:revision>121</cp:revision>
  <cp:lastPrinted>2014-05-23T12:09:00Z</cp:lastPrinted>
  <dcterms:created xsi:type="dcterms:W3CDTF">2011-05-09T11:55:00Z</dcterms:created>
  <dcterms:modified xsi:type="dcterms:W3CDTF">2014-06-17T12:01:00Z</dcterms:modified>
</cp:coreProperties>
</file>