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0D" w:rsidRPr="00924659" w:rsidRDefault="00405D0D" w:rsidP="00EB30C8">
      <w:pPr>
        <w:tabs>
          <w:tab w:val="left" w:pos="284"/>
        </w:tabs>
        <w:spacing w:line="276" w:lineRule="auto"/>
        <w:jc w:val="center"/>
        <w:rPr>
          <w:rFonts w:cs="Times New Roman"/>
          <w:szCs w:val="24"/>
        </w:rPr>
      </w:pPr>
      <w:r w:rsidRPr="00924659">
        <w:rPr>
          <w:rFonts w:cs="Times New Roman"/>
          <w:szCs w:val="24"/>
        </w:rPr>
        <w:t>KISA ÜRÜN BİLGİSİ</w:t>
      </w:r>
    </w:p>
    <w:p w:rsidR="00405D0D" w:rsidRPr="00924659" w:rsidRDefault="00405D0D" w:rsidP="00EB30C8">
      <w:pPr>
        <w:spacing w:line="276" w:lineRule="auto"/>
        <w:jc w:val="both"/>
        <w:rPr>
          <w:rFonts w:cs="Times New Roman"/>
          <w:b w:val="0"/>
          <w:szCs w:val="24"/>
        </w:rPr>
      </w:pPr>
    </w:p>
    <w:p w:rsidR="00405D0D" w:rsidRPr="00924659" w:rsidRDefault="006D75FC" w:rsidP="00EB30C8">
      <w:pPr>
        <w:tabs>
          <w:tab w:val="left" w:pos="426"/>
        </w:tabs>
        <w:spacing w:line="276" w:lineRule="auto"/>
        <w:rPr>
          <w:rFonts w:cs="Times New Roman"/>
          <w:szCs w:val="24"/>
        </w:rPr>
      </w:pPr>
      <w:r w:rsidRPr="00924659">
        <w:rPr>
          <w:rFonts w:cs="Times New Roman"/>
          <w:szCs w:val="24"/>
        </w:rPr>
        <w:t>1.</w:t>
      </w:r>
      <w:r w:rsidR="00405D0D" w:rsidRPr="00924659">
        <w:rPr>
          <w:rFonts w:cs="Times New Roman"/>
          <w:szCs w:val="24"/>
        </w:rPr>
        <w:t>BEŞERİ TIBBİ ÜRÜNÜN ADI</w:t>
      </w:r>
    </w:p>
    <w:p w:rsidR="00405D0D" w:rsidRPr="00924659" w:rsidRDefault="003D10D8" w:rsidP="00EB30C8">
      <w:pPr>
        <w:shd w:val="clear" w:color="auto" w:fill="FFFFFF"/>
        <w:spacing w:line="276" w:lineRule="auto"/>
        <w:jc w:val="both"/>
        <w:rPr>
          <w:rFonts w:cs="Times New Roman"/>
          <w:b w:val="0"/>
          <w:spacing w:val="-3"/>
          <w:szCs w:val="24"/>
        </w:rPr>
      </w:pPr>
      <w:r w:rsidRPr="00924659">
        <w:rPr>
          <w:rFonts w:cs="Times New Roman"/>
          <w:b w:val="0"/>
          <w:spacing w:val="-3"/>
          <w:szCs w:val="24"/>
        </w:rPr>
        <w:t>İNGLEX</w:t>
      </w:r>
      <w:r w:rsidR="00405D0D" w:rsidRPr="00924659">
        <w:rPr>
          <w:rFonts w:cs="Times New Roman"/>
          <w:b w:val="0"/>
          <w:spacing w:val="-3"/>
          <w:szCs w:val="24"/>
        </w:rPr>
        <w:t xml:space="preserve"> 120 mg film tablet</w:t>
      </w:r>
    </w:p>
    <w:p w:rsidR="0099633B" w:rsidRPr="00924659" w:rsidRDefault="0099633B" w:rsidP="00EB30C8">
      <w:pPr>
        <w:tabs>
          <w:tab w:val="left" w:pos="284"/>
          <w:tab w:val="left" w:pos="426"/>
        </w:tabs>
        <w:spacing w:line="276" w:lineRule="auto"/>
        <w:rPr>
          <w:rFonts w:cs="Times New Roman"/>
          <w:szCs w:val="24"/>
        </w:rPr>
      </w:pPr>
    </w:p>
    <w:p w:rsidR="00405D0D" w:rsidRPr="00924659" w:rsidRDefault="00405D0D" w:rsidP="00EB30C8">
      <w:pPr>
        <w:tabs>
          <w:tab w:val="left" w:pos="284"/>
          <w:tab w:val="left" w:pos="426"/>
        </w:tabs>
        <w:spacing w:line="276" w:lineRule="auto"/>
        <w:rPr>
          <w:rFonts w:cs="Times New Roman"/>
          <w:szCs w:val="24"/>
        </w:rPr>
      </w:pPr>
      <w:r w:rsidRPr="00924659">
        <w:rPr>
          <w:rFonts w:cs="Times New Roman"/>
          <w:szCs w:val="24"/>
        </w:rPr>
        <w:t>2.</w:t>
      </w:r>
      <w:r w:rsidRPr="00924659">
        <w:rPr>
          <w:rFonts w:cs="Times New Roman"/>
          <w:szCs w:val="24"/>
        </w:rPr>
        <w:tab/>
        <w:t>KALİTATİF VE KANTİFATİF BİLEŞİM</w:t>
      </w:r>
    </w:p>
    <w:p w:rsidR="00405D0D" w:rsidRPr="00924659" w:rsidRDefault="00405D0D" w:rsidP="00EB30C8">
      <w:pPr>
        <w:shd w:val="clear" w:color="auto" w:fill="FFFFFF"/>
        <w:spacing w:line="276" w:lineRule="auto"/>
        <w:jc w:val="both"/>
        <w:rPr>
          <w:rFonts w:cs="Times New Roman"/>
          <w:szCs w:val="24"/>
        </w:rPr>
      </w:pPr>
      <w:r w:rsidRPr="00924659">
        <w:rPr>
          <w:rFonts w:cs="Times New Roman"/>
          <w:szCs w:val="24"/>
        </w:rPr>
        <w:t>Etkin madde:</w:t>
      </w:r>
    </w:p>
    <w:p w:rsidR="00405D0D" w:rsidRPr="00924659" w:rsidRDefault="00405D0D" w:rsidP="00D7334B">
      <w:pPr>
        <w:shd w:val="clear" w:color="auto" w:fill="FFFFFF"/>
        <w:tabs>
          <w:tab w:val="left" w:pos="0"/>
          <w:tab w:val="right" w:pos="3969"/>
        </w:tabs>
        <w:spacing w:line="276" w:lineRule="auto"/>
        <w:jc w:val="both"/>
        <w:rPr>
          <w:rFonts w:cs="Times New Roman"/>
          <w:b w:val="0"/>
          <w:szCs w:val="24"/>
        </w:rPr>
      </w:pPr>
      <w:proofErr w:type="spellStart"/>
      <w:r w:rsidRPr="00924659">
        <w:rPr>
          <w:rFonts w:cs="Times New Roman"/>
          <w:b w:val="0"/>
          <w:spacing w:val="-4"/>
          <w:szCs w:val="24"/>
        </w:rPr>
        <w:t>Nateglinid</w:t>
      </w:r>
      <w:proofErr w:type="spellEnd"/>
      <w:r w:rsidRPr="00924659">
        <w:rPr>
          <w:rFonts w:cs="Times New Roman"/>
          <w:b w:val="0"/>
          <w:szCs w:val="24"/>
          <w:u w:val="dotted"/>
        </w:rPr>
        <w:tab/>
      </w:r>
      <w:r w:rsidRPr="00924659">
        <w:rPr>
          <w:rFonts w:cs="Times New Roman"/>
          <w:b w:val="0"/>
          <w:spacing w:val="-16"/>
          <w:szCs w:val="24"/>
        </w:rPr>
        <w:t>120 mg</w:t>
      </w:r>
    </w:p>
    <w:p w:rsidR="00405D0D" w:rsidRPr="00924659" w:rsidRDefault="00405D0D" w:rsidP="00D7334B">
      <w:pPr>
        <w:shd w:val="clear" w:color="auto" w:fill="FFFFFF"/>
        <w:tabs>
          <w:tab w:val="left" w:pos="0"/>
          <w:tab w:val="right" w:pos="3969"/>
        </w:tabs>
        <w:spacing w:line="276" w:lineRule="auto"/>
        <w:jc w:val="both"/>
        <w:rPr>
          <w:rFonts w:cs="Times New Roman"/>
          <w:szCs w:val="24"/>
        </w:rPr>
      </w:pPr>
      <w:r w:rsidRPr="00924659">
        <w:rPr>
          <w:rFonts w:cs="Times New Roman"/>
          <w:szCs w:val="24"/>
        </w:rPr>
        <w:t>Yardımcı maddeler:</w:t>
      </w:r>
    </w:p>
    <w:p w:rsidR="00405D0D" w:rsidRPr="00924659" w:rsidRDefault="00D7334B" w:rsidP="00D7334B">
      <w:pPr>
        <w:shd w:val="clear" w:color="auto" w:fill="FFFFFF"/>
        <w:tabs>
          <w:tab w:val="left" w:pos="0"/>
          <w:tab w:val="right" w:pos="3969"/>
        </w:tabs>
        <w:spacing w:line="276" w:lineRule="auto"/>
        <w:jc w:val="both"/>
        <w:rPr>
          <w:rFonts w:cs="Times New Roman"/>
          <w:b w:val="0"/>
          <w:spacing w:val="-4"/>
          <w:szCs w:val="24"/>
        </w:rPr>
      </w:pPr>
      <w:r w:rsidRPr="00924659">
        <w:rPr>
          <w:rFonts w:cs="Times New Roman"/>
          <w:b w:val="0"/>
          <w:spacing w:val="-4"/>
          <w:szCs w:val="24"/>
        </w:rPr>
        <w:t xml:space="preserve">Laktoz </w:t>
      </w:r>
      <w:proofErr w:type="spellStart"/>
      <w:r w:rsidRPr="00924659">
        <w:rPr>
          <w:rFonts w:cs="Times New Roman"/>
          <w:b w:val="0"/>
          <w:spacing w:val="-4"/>
          <w:szCs w:val="24"/>
        </w:rPr>
        <w:t>monohidrat</w:t>
      </w:r>
      <w:proofErr w:type="spellEnd"/>
      <w:r w:rsidRPr="00924659">
        <w:rPr>
          <w:rFonts w:cs="Times New Roman"/>
          <w:b w:val="0"/>
          <w:spacing w:val="-4"/>
          <w:szCs w:val="24"/>
          <w:u w:val="dotted"/>
        </w:rPr>
        <w:tab/>
      </w:r>
      <w:r w:rsidR="00896231" w:rsidRPr="00924659">
        <w:rPr>
          <w:rFonts w:cs="Times New Roman"/>
          <w:b w:val="0"/>
          <w:spacing w:val="-4"/>
          <w:szCs w:val="24"/>
        </w:rPr>
        <w:t>267.33</w:t>
      </w:r>
      <w:r w:rsidR="00405D0D" w:rsidRPr="00924659">
        <w:rPr>
          <w:rFonts w:cs="Times New Roman"/>
          <w:b w:val="0"/>
          <w:spacing w:val="-4"/>
          <w:szCs w:val="24"/>
        </w:rPr>
        <w:t xml:space="preserve"> mg</w:t>
      </w:r>
    </w:p>
    <w:p w:rsidR="003A629B" w:rsidRPr="00924659" w:rsidRDefault="003A629B" w:rsidP="00D7334B">
      <w:pPr>
        <w:shd w:val="clear" w:color="auto" w:fill="FFFFFF"/>
        <w:tabs>
          <w:tab w:val="right" w:pos="3969"/>
        </w:tabs>
        <w:spacing w:line="276" w:lineRule="auto"/>
        <w:jc w:val="both"/>
        <w:rPr>
          <w:rFonts w:cs="Times New Roman"/>
          <w:b w:val="0"/>
          <w:spacing w:val="-1"/>
          <w:szCs w:val="24"/>
        </w:rPr>
      </w:pPr>
      <w:proofErr w:type="spellStart"/>
      <w:r w:rsidRPr="00924659">
        <w:rPr>
          <w:b w:val="0"/>
        </w:rPr>
        <w:t>Kroskarmeloz</w:t>
      </w:r>
      <w:proofErr w:type="spellEnd"/>
      <w:r w:rsidRPr="00924659">
        <w:rPr>
          <w:b w:val="0"/>
        </w:rPr>
        <w:t xml:space="preserve"> sodyum</w:t>
      </w:r>
      <w:r w:rsidRPr="00924659">
        <w:rPr>
          <w:rFonts w:cs="Times New Roman"/>
          <w:b w:val="0"/>
          <w:spacing w:val="-1"/>
          <w:szCs w:val="24"/>
        </w:rPr>
        <w:t xml:space="preserve"> </w:t>
      </w:r>
      <w:r w:rsidR="00D7334B" w:rsidRPr="00924659">
        <w:rPr>
          <w:rFonts w:cs="Times New Roman"/>
          <w:b w:val="0"/>
          <w:spacing w:val="-1"/>
          <w:szCs w:val="24"/>
          <w:u w:val="dotted"/>
        </w:rPr>
        <w:tab/>
      </w:r>
      <w:r w:rsidR="00D7334B" w:rsidRPr="00924659">
        <w:rPr>
          <w:rFonts w:cs="Times New Roman"/>
          <w:b w:val="0"/>
          <w:spacing w:val="-1"/>
          <w:szCs w:val="24"/>
        </w:rPr>
        <w:t>32.13 mg</w:t>
      </w:r>
    </w:p>
    <w:p w:rsidR="00D11773" w:rsidRPr="00924659" w:rsidRDefault="00D11773" w:rsidP="00D7334B">
      <w:pPr>
        <w:shd w:val="clear" w:color="auto" w:fill="FFFFFF"/>
        <w:tabs>
          <w:tab w:val="right" w:pos="3969"/>
        </w:tabs>
        <w:spacing w:line="276" w:lineRule="auto"/>
        <w:jc w:val="both"/>
        <w:rPr>
          <w:rFonts w:cs="Times New Roman"/>
          <w:b w:val="0"/>
          <w:spacing w:val="-1"/>
          <w:szCs w:val="24"/>
        </w:rPr>
      </w:pPr>
      <w:r w:rsidRPr="00924659">
        <w:rPr>
          <w:rFonts w:cs="Times New Roman"/>
          <w:b w:val="0"/>
          <w:spacing w:val="-1"/>
          <w:szCs w:val="24"/>
        </w:rPr>
        <w:t xml:space="preserve">Soya </w:t>
      </w:r>
      <w:proofErr w:type="spellStart"/>
      <w:r w:rsidRPr="00924659">
        <w:rPr>
          <w:rFonts w:cs="Times New Roman"/>
          <w:b w:val="0"/>
          <w:spacing w:val="-1"/>
          <w:szCs w:val="24"/>
        </w:rPr>
        <w:t>lesitin</w:t>
      </w:r>
      <w:proofErr w:type="spellEnd"/>
      <w:r w:rsidRPr="00924659">
        <w:rPr>
          <w:rFonts w:cs="Times New Roman"/>
          <w:b w:val="0"/>
          <w:spacing w:val="-1"/>
          <w:szCs w:val="24"/>
          <w:u w:val="dotted"/>
        </w:rPr>
        <w:tab/>
      </w:r>
      <w:r w:rsidRPr="00924659">
        <w:rPr>
          <w:rFonts w:cs="Times New Roman"/>
          <w:b w:val="0"/>
          <w:spacing w:val="-1"/>
          <w:szCs w:val="24"/>
        </w:rPr>
        <w:t>0.3 mg</w:t>
      </w:r>
    </w:p>
    <w:p w:rsidR="00405D0D" w:rsidRPr="00924659" w:rsidRDefault="00405D0D" w:rsidP="00EB30C8">
      <w:pPr>
        <w:shd w:val="clear" w:color="auto" w:fill="FFFFFF"/>
        <w:spacing w:line="276" w:lineRule="auto"/>
        <w:jc w:val="both"/>
        <w:rPr>
          <w:rFonts w:cs="Times New Roman"/>
          <w:b w:val="0"/>
          <w:spacing w:val="-6"/>
          <w:szCs w:val="24"/>
        </w:rPr>
      </w:pPr>
      <w:r w:rsidRPr="00924659">
        <w:rPr>
          <w:rFonts w:cs="Times New Roman"/>
          <w:b w:val="0"/>
          <w:spacing w:val="-6"/>
          <w:szCs w:val="24"/>
        </w:rPr>
        <w:t>Yardımcı maddeler için, 6.1'e bakınız.</w:t>
      </w:r>
    </w:p>
    <w:p w:rsidR="00896231" w:rsidRPr="00924659" w:rsidRDefault="00896231" w:rsidP="00EB30C8">
      <w:pPr>
        <w:shd w:val="clear" w:color="auto" w:fill="FFFFFF"/>
        <w:spacing w:line="276" w:lineRule="auto"/>
        <w:jc w:val="both"/>
        <w:rPr>
          <w:rFonts w:cs="Times New Roman"/>
          <w:b w:val="0"/>
          <w:szCs w:val="24"/>
        </w:rPr>
      </w:pPr>
    </w:p>
    <w:p w:rsidR="00405D0D" w:rsidRPr="00924659" w:rsidRDefault="00405D0D" w:rsidP="00EB30C8">
      <w:pPr>
        <w:tabs>
          <w:tab w:val="left" w:pos="426"/>
        </w:tabs>
        <w:spacing w:line="276" w:lineRule="auto"/>
        <w:jc w:val="both"/>
        <w:rPr>
          <w:rFonts w:cs="Times New Roman"/>
          <w:szCs w:val="24"/>
        </w:rPr>
      </w:pPr>
      <w:r w:rsidRPr="00924659">
        <w:rPr>
          <w:rFonts w:cs="Times New Roman"/>
          <w:spacing w:val="-23"/>
          <w:szCs w:val="24"/>
        </w:rPr>
        <w:t>3.</w:t>
      </w:r>
      <w:r w:rsidRPr="00924659">
        <w:rPr>
          <w:rFonts w:cs="Times New Roman"/>
          <w:szCs w:val="24"/>
        </w:rPr>
        <w:tab/>
        <w:t>FARMASÖTİK FORM</w:t>
      </w:r>
    </w:p>
    <w:p w:rsidR="00405D0D" w:rsidRPr="00924659" w:rsidRDefault="00CF5B91" w:rsidP="00EB30C8">
      <w:pPr>
        <w:shd w:val="clear" w:color="auto" w:fill="FFFFFF"/>
        <w:spacing w:line="276" w:lineRule="auto"/>
        <w:jc w:val="both"/>
        <w:rPr>
          <w:rFonts w:cs="Times New Roman"/>
          <w:b w:val="0"/>
          <w:szCs w:val="24"/>
        </w:rPr>
      </w:pPr>
      <w:r w:rsidRPr="00924659">
        <w:rPr>
          <w:rFonts w:cs="Times New Roman"/>
          <w:b w:val="0"/>
          <w:spacing w:val="-6"/>
          <w:szCs w:val="24"/>
        </w:rPr>
        <w:t>Film</w:t>
      </w:r>
      <w:r w:rsidR="00405D0D" w:rsidRPr="00924659">
        <w:rPr>
          <w:rFonts w:cs="Times New Roman"/>
          <w:b w:val="0"/>
          <w:spacing w:val="-6"/>
          <w:szCs w:val="24"/>
        </w:rPr>
        <w:t xml:space="preserve"> tablet.</w:t>
      </w:r>
    </w:p>
    <w:p w:rsidR="000C0161" w:rsidRPr="00924659" w:rsidRDefault="00F8353C" w:rsidP="00EB30C8">
      <w:pPr>
        <w:widowControl/>
        <w:autoSpaceDE/>
        <w:autoSpaceDN/>
        <w:adjustRightInd/>
        <w:spacing w:line="276" w:lineRule="auto"/>
        <w:jc w:val="both"/>
        <w:rPr>
          <w:rFonts w:cs="Times New Roman"/>
          <w:b w:val="0"/>
          <w:szCs w:val="24"/>
          <w:lang w:eastAsia="en-US"/>
        </w:rPr>
      </w:pPr>
      <w:r w:rsidRPr="00924659">
        <w:rPr>
          <w:rFonts w:cs="Times New Roman"/>
          <w:b w:val="0"/>
          <w:szCs w:val="24"/>
          <w:lang w:eastAsia="en-US"/>
        </w:rPr>
        <w:t>K</w:t>
      </w:r>
      <w:r w:rsidR="000C0161" w:rsidRPr="00924659">
        <w:rPr>
          <w:rFonts w:cs="Times New Roman"/>
          <w:b w:val="0"/>
          <w:szCs w:val="24"/>
          <w:lang w:eastAsia="en-US"/>
        </w:rPr>
        <w:t xml:space="preserve">onvansiyonel dozaj formunda, hızlı salım yapan, </w:t>
      </w:r>
      <w:proofErr w:type="spellStart"/>
      <w:r w:rsidR="000C0161" w:rsidRPr="00924659">
        <w:rPr>
          <w:rFonts w:cs="Times New Roman"/>
          <w:b w:val="0"/>
          <w:szCs w:val="24"/>
          <w:lang w:eastAsia="en-US"/>
        </w:rPr>
        <w:t>oblong</w:t>
      </w:r>
      <w:proofErr w:type="spellEnd"/>
      <w:r w:rsidR="000C0161" w:rsidRPr="00924659">
        <w:rPr>
          <w:rFonts w:cs="Times New Roman"/>
          <w:b w:val="0"/>
          <w:szCs w:val="24"/>
          <w:lang w:eastAsia="en-US"/>
        </w:rPr>
        <w:t xml:space="preserve">, yazısız, </w:t>
      </w:r>
      <w:proofErr w:type="spellStart"/>
      <w:r w:rsidR="000C0161" w:rsidRPr="00924659">
        <w:rPr>
          <w:rFonts w:cs="Times New Roman"/>
          <w:b w:val="0"/>
          <w:szCs w:val="24"/>
          <w:lang w:eastAsia="en-US"/>
        </w:rPr>
        <w:t>bikonveks</w:t>
      </w:r>
      <w:proofErr w:type="spellEnd"/>
      <w:r w:rsidR="000C0161" w:rsidRPr="00924659">
        <w:rPr>
          <w:rFonts w:cs="Times New Roman"/>
          <w:b w:val="0"/>
          <w:szCs w:val="24"/>
          <w:lang w:eastAsia="en-US"/>
        </w:rPr>
        <w:t>, sarı renkte tabletlerdir.</w:t>
      </w:r>
    </w:p>
    <w:p w:rsidR="0099633B" w:rsidRPr="00924659" w:rsidRDefault="0099633B" w:rsidP="00EB30C8">
      <w:pPr>
        <w:tabs>
          <w:tab w:val="left" w:pos="426"/>
        </w:tabs>
        <w:spacing w:line="276" w:lineRule="auto"/>
        <w:jc w:val="both"/>
        <w:rPr>
          <w:rFonts w:cs="Times New Roman"/>
          <w:spacing w:val="-25"/>
          <w:szCs w:val="24"/>
        </w:rPr>
      </w:pPr>
    </w:p>
    <w:p w:rsidR="00405D0D" w:rsidRPr="00924659" w:rsidRDefault="00405D0D" w:rsidP="00EB30C8">
      <w:pPr>
        <w:tabs>
          <w:tab w:val="left" w:pos="426"/>
        </w:tabs>
        <w:spacing w:line="276" w:lineRule="auto"/>
        <w:jc w:val="both"/>
        <w:rPr>
          <w:rFonts w:cs="Times New Roman"/>
          <w:szCs w:val="24"/>
        </w:rPr>
      </w:pPr>
      <w:r w:rsidRPr="00924659">
        <w:rPr>
          <w:rFonts w:cs="Times New Roman"/>
          <w:spacing w:val="-25"/>
          <w:szCs w:val="24"/>
        </w:rPr>
        <w:t>4.</w:t>
      </w:r>
      <w:r w:rsidRPr="00924659">
        <w:rPr>
          <w:rFonts w:cs="Times New Roman"/>
          <w:szCs w:val="24"/>
        </w:rPr>
        <w:tab/>
        <w:t>KLİNİK ÖZELLİKLER</w:t>
      </w:r>
    </w:p>
    <w:p w:rsidR="00405D0D" w:rsidRPr="00924659" w:rsidRDefault="00405D0D" w:rsidP="00EB30C8">
      <w:pPr>
        <w:tabs>
          <w:tab w:val="left" w:pos="426"/>
        </w:tabs>
        <w:spacing w:line="276" w:lineRule="auto"/>
        <w:jc w:val="both"/>
        <w:rPr>
          <w:rFonts w:cs="Times New Roman"/>
          <w:szCs w:val="24"/>
        </w:rPr>
      </w:pPr>
      <w:r w:rsidRPr="00924659">
        <w:rPr>
          <w:rFonts w:cs="Times New Roman"/>
          <w:szCs w:val="24"/>
        </w:rPr>
        <w:t>4.1.</w:t>
      </w:r>
      <w:r w:rsidRPr="00924659">
        <w:rPr>
          <w:rFonts w:cs="Times New Roman"/>
          <w:szCs w:val="24"/>
        </w:rPr>
        <w:tab/>
      </w:r>
      <w:r w:rsidR="00092E4D" w:rsidRPr="00924659">
        <w:rPr>
          <w:rFonts w:cs="Times New Roman"/>
          <w:szCs w:val="24"/>
        </w:rPr>
        <w:t xml:space="preserve"> </w:t>
      </w:r>
      <w:proofErr w:type="spellStart"/>
      <w:r w:rsidRPr="00924659">
        <w:rPr>
          <w:rFonts w:cs="Times New Roman"/>
          <w:szCs w:val="24"/>
        </w:rPr>
        <w:t>Terapötik</w:t>
      </w:r>
      <w:proofErr w:type="spellEnd"/>
      <w:r w:rsidRPr="00924659">
        <w:rPr>
          <w:rFonts w:cs="Times New Roman"/>
          <w:szCs w:val="24"/>
        </w:rPr>
        <w:t xml:space="preserve"> </w:t>
      </w:r>
      <w:proofErr w:type="spellStart"/>
      <w:r w:rsidRPr="00924659">
        <w:rPr>
          <w:rFonts w:cs="Times New Roman"/>
          <w:szCs w:val="24"/>
        </w:rPr>
        <w:t>endikasyonlar</w:t>
      </w:r>
      <w:proofErr w:type="spellEnd"/>
    </w:p>
    <w:p w:rsidR="00405D0D" w:rsidRPr="00924659" w:rsidRDefault="003D10D8" w:rsidP="00EB30C8">
      <w:pPr>
        <w:shd w:val="clear" w:color="auto" w:fill="FFFFFF"/>
        <w:spacing w:line="276" w:lineRule="auto"/>
        <w:jc w:val="both"/>
        <w:rPr>
          <w:rFonts w:cs="Times New Roman"/>
          <w:b w:val="0"/>
          <w:spacing w:val="-1"/>
          <w:szCs w:val="24"/>
        </w:rPr>
      </w:pPr>
      <w:r w:rsidRPr="00924659">
        <w:rPr>
          <w:rFonts w:cs="Times New Roman"/>
          <w:b w:val="0"/>
          <w:spacing w:val="-1"/>
          <w:szCs w:val="24"/>
        </w:rPr>
        <w:t>İNGLEX</w:t>
      </w:r>
      <w:r w:rsidR="00405D0D" w:rsidRPr="00924659">
        <w:rPr>
          <w:rFonts w:cs="Times New Roman"/>
          <w:b w:val="0"/>
          <w:spacing w:val="-1"/>
          <w:szCs w:val="24"/>
        </w:rPr>
        <w:t xml:space="preserve"> (</w:t>
      </w:r>
      <w:proofErr w:type="spellStart"/>
      <w:r w:rsidR="00405D0D" w:rsidRPr="00924659">
        <w:rPr>
          <w:rFonts w:cs="Times New Roman"/>
          <w:b w:val="0"/>
          <w:spacing w:val="-1"/>
          <w:szCs w:val="24"/>
        </w:rPr>
        <w:t>nateglinid</w:t>
      </w:r>
      <w:proofErr w:type="spellEnd"/>
      <w:r w:rsidR="00405D0D" w:rsidRPr="00924659">
        <w:rPr>
          <w:rFonts w:cs="Times New Roman"/>
          <w:b w:val="0"/>
          <w:spacing w:val="-1"/>
          <w:szCs w:val="24"/>
        </w:rPr>
        <w:t xml:space="preserve">) </w:t>
      </w:r>
      <w:proofErr w:type="spellStart"/>
      <w:r w:rsidR="00405D0D" w:rsidRPr="00924659">
        <w:rPr>
          <w:rFonts w:cs="Times New Roman"/>
          <w:b w:val="0"/>
          <w:spacing w:val="-1"/>
          <w:szCs w:val="24"/>
        </w:rPr>
        <w:t>hiperglisemisi</w:t>
      </w:r>
      <w:proofErr w:type="spellEnd"/>
      <w:r w:rsidR="00405D0D" w:rsidRPr="00924659">
        <w:rPr>
          <w:rFonts w:cs="Times New Roman"/>
          <w:b w:val="0"/>
          <w:spacing w:val="-1"/>
          <w:szCs w:val="24"/>
        </w:rPr>
        <w:t xml:space="preserve"> diyet ve egzersizle yeterince kontrol edilemeyen ve diğer </w:t>
      </w:r>
      <w:proofErr w:type="spellStart"/>
      <w:r w:rsidR="00405D0D" w:rsidRPr="00924659">
        <w:rPr>
          <w:rFonts w:cs="Times New Roman"/>
          <w:b w:val="0"/>
          <w:spacing w:val="-1"/>
          <w:szCs w:val="24"/>
        </w:rPr>
        <w:t>antidiyabetik</w:t>
      </w:r>
      <w:proofErr w:type="spellEnd"/>
      <w:r w:rsidR="00405D0D" w:rsidRPr="00924659">
        <w:rPr>
          <w:rFonts w:cs="Times New Roman"/>
          <w:b w:val="0"/>
          <w:spacing w:val="-1"/>
          <w:szCs w:val="24"/>
        </w:rPr>
        <w:t xml:space="preserve"> ajanlarla kroni</w:t>
      </w:r>
      <w:r w:rsidR="00AB1DDF" w:rsidRPr="00924659">
        <w:rPr>
          <w:rFonts w:cs="Times New Roman"/>
          <w:b w:val="0"/>
          <w:spacing w:val="-1"/>
          <w:szCs w:val="24"/>
        </w:rPr>
        <w:t>k tedavi görmemiş tip 2 diyabet</w:t>
      </w:r>
      <w:r w:rsidR="00405D0D" w:rsidRPr="00924659">
        <w:rPr>
          <w:rFonts w:cs="Times New Roman"/>
          <w:b w:val="0"/>
          <w:spacing w:val="-1"/>
          <w:szCs w:val="24"/>
        </w:rPr>
        <w:t xml:space="preserve"> hastala</w:t>
      </w:r>
      <w:r w:rsidR="00A214B7" w:rsidRPr="00924659">
        <w:rPr>
          <w:rFonts w:cs="Times New Roman"/>
          <w:b w:val="0"/>
          <w:spacing w:val="-1"/>
          <w:szCs w:val="24"/>
        </w:rPr>
        <w:t>rın</w:t>
      </w:r>
      <w:r w:rsidR="00405D0D" w:rsidRPr="00924659">
        <w:rPr>
          <w:rFonts w:cs="Times New Roman"/>
          <w:b w:val="0"/>
          <w:spacing w:val="-1"/>
          <w:szCs w:val="24"/>
        </w:rPr>
        <w:t xml:space="preserve">da kan </w:t>
      </w:r>
      <w:proofErr w:type="spellStart"/>
      <w:r w:rsidR="00405D0D" w:rsidRPr="00924659">
        <w:rPr>
          <w:rFonts w:cs="Times New Roman"/>
          <w:b w:val="0"/>
          <w:spacing w:val="-1"/>
          <w:szCs w:val="24"/>
        </w:rPr>
        <w:t>glukoz</w:t>
      </w:r>
      <w:proofErr w:type="spellEnd"/>
      <w:r w:rsidR="00405D0D" w:rsidRPr="00924659">
        <w:rPr>
          <w:rFonts w:cs="Times New Roman"/>
          <w:b w:val="0"/>
          <w:spacing w:val="-1"/>
          <w:szCs w:val="24"/>
        </w:rPr>
        <w:t xml:space="preserve"> düzeyini azaltmak amacıyla kullanılır.</w:t>
      </w:r>
    </w:p>
    <w:p w:rsidR="00405D0D" w:rsidRPr="00924659" w:rsidRDefault="003D10D8" w:rsidP="00EB30C8">
      <w:pPr>
        <w:shd w:val="clear" w:color="auto" w:fill="FFFFFF"/>
        <w:spacing w:line="276" w:lineRule="auto"/>
        <w:jc w:val="both"/>
        <w:rPr>
          <w:rFonts w:cs="Times New Roman"/>
          <w:b w:val="0"/>
          <w:spacing w:val="-1"/>
          <w:szCs w:val="24"/>
        </w:rPr>
      </w:pPr>
      <w:r w:rsidRPr="00924659">
        <w:rPr>
          <w:rFonts w:cs="Times New Roman"/>
          <w:b w:val="0"/>
          <w:spacing w:val="-1"/>
          <w:szCs w:val="24"/>
        </w:rPr>
        <w:t>İNGLEX</w:t>
      </w:r>
      <w:r w:rsidR="00405D0D" w:rsidRPr="00924659">
        <w:rPr>
          <w:rFonts w:cs="Times New Roman"/>
          <w:b w:val="0"/>
          <w:spacing w:val="-1"/>
          <w:szCs w:val="24"/>
        </w:rPr>
        <w:t xml:space="preserve">, </w:t>
      </w:r>
      <w:proofErr w:type="spellStart"/>
      <w:r w:rsidR="00405D0D" w:rsidRPr="00924659">
        <w:rPr>
          <w:rFonts w:cs="Times New Roman"/>
          <w:b w:val="0"/>
          <w:spacing w:val="-1"/>
          <w:szCs w:val="24"/>
        </w:rPr>
        <w:t>metformin</w:t>
      </w:r>
      <w:proofErr w:type="spellEnd"/>
      <w:r w:rsidR="00405D0D" w:rsidRPr="00924659">
        <w:rPr>
          <w:rFonts w:cs="Times New Roman"/>
          <w:b w:val="0"/>
          <w:spacing w:val="-1"/>
          <w:szCs w:val="24"/>
        </w:rPr>
        <w:t xml:space="preserve"> ile kombine olarak da kullanılabilir. </w:t>
      </w:r>
      <w:proofErr w:type="spellStart"/>
      <w:r w:rsidR="00405D0D" w:rsidRPr="00924659">
        <w:rPr>
          <w:rFonts w:cs="Times New Roman"/>
          <w:b w:val="0"/>
          <w:spacing w:val="-1"/>
          <w:szCs w:val="24"/>
        </w:rPr>
        <w:t>Hiperglisemisi</w:t>
      </w:r>
      <w:proofErr w:type="spellEnd"/>
      <w:r w:rsidR="00405D0D" w:rsidRPr="00924659">
        <w:rPr>
          <w:rFonts w:cs="Times New Roman"/>
          <w:b w:val="0"/>
          <w:spacing w:val="-1"/>
          <w:szCs w:val="24"/>
        </w:rPr>
        <w:t xml:space="preserve"> </w:t>
      </w:r>
      <w:proofErr w:type="spellStart"/>
      <w:r w:rsidR="00405D0D" w:rsidRPr="00924659">
        <w:rPr>
          <w:rFonts w:cs="Times New Roman"/>
          <w:b w:val="0"/>
          <w:spacing w:val="-1"/>
          <w:szCs w:val="24"/>
        </w:rPr>
        <w:t>metformin</w:t>
      </w:r>
      <w:proofErr w:type="spellEnd"/>
      <w:r w:rsidR="00405D0D" w:rsidRPr="00924659">
        <w:rPr>
          <w:rFonts w:cs="Times New Roman"/>
          <w:b w:val="0"/>
          <w:spacing w:val="-1"/>
          <w:szCs w:val="24"/>
        </w:rPr>
        <w:t xml:space="preserve"> ile yeterince kontrol edilemeyen hastaların tedavisine </w:t>
      </w:r>
      <w:r w:rsidRPr="00924659">
        <w:rPr>
          <w:rFonts w:cs="Times New Roman"/>
          <w:b w:val="0"/>
          <w:spacing w:val="-1"/>
          <w:szCs w:val="24"/>
        </w:rPr>
        <w:t>İNGLEX</w:t>
      </w:r>
      <w:r w:rsidR="00405D0D" w:rsidRPr="00924659">
        <w:rPr>
          <w:rFonts w:cs="Times New Roman"/>
          <w:b w:val="0"/>
          <w:spacing w:val="-1"/>
          <w:szCs w:val="24"/>
        </w:rPr>
        <w:t xml:space="preserve"> eklenebilir; ancak </w:t>
      </w:r>
      <w:proofErr w:type="spellStart"/>
      <w:r w:rsidR="00405D0D" w:rsidRPr="00924659">
        <w:rPr>
          <w:rFonts w:cs="Times New Roman"/>
          <w:b w:val="0"/>
          <w:spacing w:val="-1"/>
          <w:szCs w:val="24"/>
        </w:rPr>
        <w:t>metforminin</w:t>
      </w:r>
      <w:proofErr w:type="spellEnd"/>
      <w:r w:rsidR="00405D0D" w:rsidRPr="00924659">
        <w:rPr>
          <w:rFonts w:cs="Times New Roman"/>
          <w:b w:val="0"/>
          <w:spacing w:val="-1"/>
          <w:szCs w:val="24"/>
        </w:rPr>
        <w:t xml:space="preserve"> yerine verilmesi önerilmez.</w:t>
      </w:r>
    </w:p>
    <w:p w:rsidR="00405D0D" w:rsidRPr="00924659" w:rsidRDefault="00405D0D" w:rsidP="00EB30C8">
      <w:pPr>
        <w:shd w:val="clear" w:color="auto" w:fill="FFFFFF"/>
        <w:spacing w:line="276" w:lineRule="auto"/>
        <w:jc w:val="both"/>
        <w:rPr>
          <w:rFonts w:cs="Times New Roman"/>
          <w:b w:val="0"/>
          <w:spacing w:val="-1"/>
          <w:szCs w:val="24"/>
        </w:rPr>
      </w:pPr>
      <w:r w:rsidRPr="00924659">
        <w:rPr>
          <w:rFonts w:cs="Times New Roman"/>
          <w:b w:val="0"/>
          <w:spacing w:val="-1"/>
          <w:szCs w:val="24"/>
        </w:rPr>
        <w:t xml:space="preserve">Diğer </w:t>
      </w:r>
      <w:proofErr w:type="spellStart"/>
      <w:r w:rsidRPr="00924659">
        <w:rPr>
          <w:rFonts w:cs="Times New Roman"/>
          <w:b w:val="0"/>
          <w:spacing w:val="-1"/>
          <w:szCs w:val="24"/>
        </w:rPr>
        <w:t>insülin</w:t>
      </w:r>
      <w:proofErr w:type="spellEnd"/>
      <w:r w:rsidRPr="00924659">
        <w:rPr>
          <w:rFonts w:cs="Times New Roman"/>
          <w:b w:val="0"/>
          <w:spacing w:val="-1"/>
          <w:szCs w:val="24"/>
        </w:rPr>
        <w:t xml:space="preserve"> salgıla</w:t>
      </w:r>
      <w:r w:rsidR="00AB6649" w:rsidRPr="00924659">
        <w:rPr>
          <w:rFonts w:cs="Times New Roman"/>
          <w:b w:val="0"/>
          <w:spacing w:val="-1"/>
          <w:szCs w:val="24"/>
        </w:rPr>
        <w:t>tı</w:t>
      </w:r>
      <w:r w:rsidRPr="00924659">
        <w:rPr>
          <w:rFonts w:cs="Times New Roman"/>
          <w:b w:val="0"/>
          <w:spacing w:val="-1"/>
          <w:szCs w:val="24"/>
        </w:rPr>
        <w:t xml:space="preserve">cılar ile </w:t>
      </w:r>
      <w:proofErr w:type="spellStart"/>
      <w:r w:rsidRPr="00924659">
        <w:rPr>
          <w:rFonts w:cs="Times New Roman"/>
          <w:b w:val="0"/>
          <w:spacing w:val="-1"/>
          <w:szCs w:val="24"/>
        </w:rPr>
        <w:t>hiperglisemisi</w:t>
      </w:r>
      <w:proofErr w:type="spellEnd"/>
      <w:r w:rsidRPr="00924659">
        <w:rPr>
          <w:rFonts w:cs="Times New Roman"/>
          <w:b w:val="0"/>
          <w:spacing w:val="-1"/>
          <w:szCs w:val="24"/>
        </w:rPr>
        <w:t xml:space="preserve"> yeterince kontrol edilememiş hastalarda </w:t>
      </w:r>
      <w:r w:rsidR="003D10D8" w:rsidRPr="00924659">
        <w:rPr>
          <w:rFonts w:cs="Times New Roman"/>
          <w:b w:val="0"/>
          <w:spacing w:val="-1"/>
          <w:szCs w:val="24"/>
        </w:rPr>
        <w:t>İNGLEX</w:t>
      </w:r>
      <w:r w:rsidRPr="00924659">
        <w:rPr>
          <w:rFonts w:cs="Times New Roman"/>
          <w:b w:val="0"/>
          <w:spacing w:val="-1"/>
          <w:szCs w:val="24"/>
        </w:rPr>
        <w:t xml:space="preserve"> tedavisine geçilmesi ve/veya bu hastaların tedavisine </w:t>
      </w:r>
      <w:r w:rsidR="003D10D8" w:rsidRPr="00924659">
        <w:rPr>
          <w:rFonts w:cs="Times New Roman"/>
          <w:b w:val="0"/>
          <w:spacing w:val="-1"/>
          <w:szCs w:val="24"/>
        </w:rPr>
        <w:t>İNGLEX</w:t>
      </w:r>
      <w:r w:rsidRPr="00924659">
        <w:rPr>
          <w:rFonts w:cs="Times New Roman"/>
          <w:b w:val="0"/>
          <w:spacing w:val="-1"/>
          <w:szCs w:val="24"/>
        </w:rPr>
        <w:t xml:space="preserve"> eklenmesi önerilmez.</w:t>
      </w:r>
    </w:p>
    <w:p w:rsidR="00092E4D" w:rsidRPr="00924659" w:rsidRDefault="00092E4D" w:rsidP="00EB30C8">
      <w:pPr>
        <w:shd w:val="clear" w:color="auto" w:fill="FFFFFF"/>
        <w:spacing w:line="276" w:lineRule="auto"/>
        <w:jc w:val="both"/>
        <w:rPr>
          <w:rFonts w:cs="Times New Roman"/>
          <w:b w:val="0"/>
          <w:spacing w:val="-1"/>
          <w:szCs w:val="24"/>
        </w:rPr>
      </w:pPr>
    </w:p>
    <w:p w:rsidR="00BD0636" w:rsidRPr="00924659" w:rsidRDefault="00405D0D" w:rsidP="00EB30C8">
      <w:pPr>
        <w:shd w:val="clear" w:color="auto" w:fill="FFFFFF"/>
        <w:tabs>
          <w:tab w:val="left" w:pos="490"/>
        </w:tabs>
        <w:spacing w:line="276" w:lineRule="auto"/>
        <w:ind w:right="4435"/>
        <w:jc w:val="both"/>
        <w:rPr>
          <w:rFonts w:cs="Times New Roman"/>
          <w:spacing w:val="-1"/>
          <w:szCs w:val="24"/>
        </w:rPr>
      </w:pPr>
      <w:r w:rsidRPr="00924659">
        <w:rPr>
          <w:rFonts w:cs="Times New Roman"/>
          <w:spacing w:val="-1"/>
          <w:szCs w:val="24"/>
        </w:rPr>
        <w:t>4.2.</w:t>
      </w:r>
      <w:r w:rsidRPr="00924659">
        <w:rPr>
          <w:rFonts w:cs="Times New Roman"/>
          <w:spacing w:val="-1"/>
          <w:szCs w:val="24"/>
        </w:rPr>
        <w:tab/>
      </w:r>
      <w:proofErr w:type="spellStart"/>
      <w:r w:rsidRPr="00924659">
        <w:rPr>
          <w:rFonts w:cs="Times New Roman"/>
          <w:spacing w:val="-1"/>
          <w:szCs w:val="24"/>
        </w:rPr>
        <w:t>Pozoloji</w:t>
      </w:r>
      <w:proofErr w:type="spellEnd"/>
      <w:r w:rsidRPr="00924659">
        <w:rPr>
          <w:rFonts w:cs="Times New Roman"/>
          <w:spacing w:val="-1"/>
          <w:szCs w:val="24"/>
        </w:rPr>
        <w:t xml:space="preserve"> ve uygulama şekli</w:t>
      </w:r>
    </w:p>
    <w:p w:rsidR="00405D0D" w:rsidRPr="00924659" w:rsidRDefault="00405D0D" w:rsidP="00EB30C8">
      <w:pPr>
        <w:shd w:val="clear" w:color="auto" w:fill="FFFFFF"/>
        <w:tabs>
          <w:tab w:val="left" w:pos="490"/>
        </w:tabs>
        <w:spacing w:line="276" w:lineRule="auto"/>
        <w:ind w:right="4435"/>
        <w:jc w:val="both"/>
        <w:rPr>
          <w:rFonts w:cs="Times New Roman"/>
          <w:spacing w:val="-1"/>
          <w:szCs w:val="24"/>
        </w:rPr>
      </w:pPr>
      <w:proofErr w:type="spellStart"/>
      <w:r w:rsidRPr="00924659">
        <w:rPr>
          <w:rFonts w:cs="Times New Roman"/>
          <w:spacing w:val="-1"/>
          <w:szCs w:val="24"/>
        </w:rPr>
        <w:t>Pozoloji</w:t>
      </w:r>
      <w:proofErr w:type="spellEnd"/>
      <w:r w:rsidRPr="00924659">
        <w:rPr>
          <w:rFonts w:cs="Times New Roman"/>
          <w:spacing w:val="-1"/>
          <w:szCs w:val="24"/>
        </w:rPr>
        <w:t>/uygulama sıklığı ve süresi:</w:t>
      </w:r>
    </w:p>
    <w:p w:rsidR="00405D0D" w:rsidRPr="00924659" w:rsidRDefault="00405D0D" w:rsidP="00EB30C8">
      <w:pPr>
        <w:shd w:val="clear" w:color="auto" w:fill="FFFFFF"/>
        <w:spacing w:line="276" w:lineRule="auto"/>
        <w:jc w:val="both"/>
        <w:rPr>
          <w:rFonts w:cs="Times New Roman"/>
          <w:b w:val="0"/>
          <w:spacing w:val="-1"/>
          <w:szCs w:val="24"/>
        </w:rPr>
      </w:pPr>
      <w:r w:rsidRPr="00924659">
        <w:rPr>
          <w:rFonts w:cs="Times New Roman"/>
          <w:b w:val="0"/>
          <w:spacing w:val="-1"/>
          <w:szCs w:val="24"/>
        </w:rPr>
        <w:t>Doktor tarafından başka şekilde tavsiye edilmediği takdirde;</w:t>
      </w:r>
    </w:p>
    <w:p w:rsidR="00AB1DDF" w:rsidRPr="00924659" w:rsidRDefault="00AB1DDF" w:rsidP="00EB30C8">
      <w:pPr>
        <w:shd w:val="clear" w:color="auto" w:fill="FFFFFF"/>
        <w:spacing w:line="276" w:lineRule="auto"/>
        <w:jc w:val="both"/>
        <w:rPr>
          <w:rFonts w:cs="Times New Roman"/>
          <w:spacing w:val="-1"/>
          <w:szCs w:val="24"/>
        </w:rPr>
      </w:pPr>
    </w:p>
    <w:p w:rsidR="00405D0D" w:rsidRPr="00924659" w:rsidRDefault="00405D0D" w:rsidP="00EB30C8">
      <w:pPr>
        <w:shd w:val="clear" w:color="auto" w:fill="FFFFFF"/>
        <w:spacing w:line="276" w:lineRule="auto"/>
        <w:jc w:val="both"/>
        <w:rPr>
          <w:rFonts w:cs="Times New Roman"/>
          <w:spacing w:val="-1"/>
          <w:szCs w:val="24"/>
        </w:rPr>
      </w:pPr>
      <w:proofErr w:type="spellStart"/>
      <w:r w:rsidRPr="00924659">
        <w:rPr>
          <w:rFonts w:cs="Times New Roman"/>
          <w:spacing w:val="-1"/>
          <w:szCs w:val="24"/>
        </w:rPr>
        <w:t>Monoterapi</w:t>
      </w:r>
      <w:proofErr w:type="spellEnd"/>
    </w:p>
    <w:p w:rsidR="00405D0D" w:rsidRPr="00924659" w:rsidRDefault="00405D0D" w:rsidP="00EB30C8">
      <w:pPr>
        <w:shd w:val="clear" w:color="auto" w:fill="FFFFFF"/>
        <w:spacing w:line="276" w:lineRule="auto"/>
        <w:jc w:val="both"/>
        <w:rPr>
          <w:rFonts w:cs="Times New Roman"/>
          <w:b w:val="0"/>
          <w:spacing w:val="-1"/>
          <w:szCs w:val="24"/>
        </w:rPr>
      </w:pPr>
      <w:r w:rsidRPr="00924659">
        <w:rPr>
          <w:rFonts w:cs="Times New Roman"/>
          <w:b w:val="0"/>
          <w:spacing w:val="-1"/>
          <w:szCs w:val="24"/>
        </w:rPr>
        <w:t>Genellikle kullanılan doz,yemeklerden önce 120 mg dır.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İlacın dozu, </w:t>
      </w:r>
      <w:proofErr w:type="spellStart"/>
      <w:r w:rsidRPr="00924659">
        <w:rPr>
          <w:rFonts w:cs="Times New Roman"/>
          <w:b w:val="0"/>
          <w:spacing w:val="-1"/>
          <w:szCs w:val="24"/>
        </w:rPr>
        <w:t>glukozile</w:t>
      </w:r>
      <w:proofErr w:type="spellEnd"/>
      <w:r w:rsidRPr="00924659">
        <w:rPr>
          <w:rFonts w:cs="Times New Roman"/>
          <w:b w:val="0"/>
          <w:spacing w:val="-1"/>
          <w:szCs w:val="24"/>
        </w:rPr>
        <w:t xml:space="preserve"> hemoglobin (</w:t>
      </w:r>
      <w:proofErr w:type="spellStart"/>
      <w:r w:rsidRPr="00924659">
        <w:rPr>
          <w:rFonts w:cs="Times New Roman"/>
          <w:b w:val="0"/>
          <w:spacing w:val="-1"/>
          <w:szCs w:val="24"/>
        </w:rPr>
        <w:t>HbA</w:t>
      </w:r>
      <w:r w:rsidRPr="00924659">
        <w:rPr>
          <w:rFonts w:cs="Times New Roman"/>
          <w:b w:val="0"/>
          <w:spacing w:val="-1"/>
          <w:sz w:val="28"/>
          <w:szCs w:val="28"/>
          <w:vertAlign w:val="subscript"/>
        </w:rPr>
        <w:t>ıc</w:t>
      </w:r>
      <w:proofErr w:type="spellEnd"/>
      <w:r w:rsidRPr="00924659">
        <w:rPr>
          <w:rFonts w:cs="Times New Roman"/>
          <w:b w:val="0"/>
          <w:spacing w:val="-1"/>
          <w:szCs w:val="24"/>
        </w:rPr>
        <w:t xml:space="preserve">) ölçüm sonuçlarına göre ayarlanmalıdır. Yemek zamanındaki, </w:t>
      </w:r>
      <w:proofErr w:type="spellStart"/>
      <w:r w:rsidR="00273627" w:rsidRPr="00924659">
        <w:rPr>
          <w:rFonts w:cs="Times New Roman"/>
          <w:b w:val="0"/>
          <w:spacing w:val="-1"/>
          <w:szCs w:val="24"/>
        </w:rPr>
        <w:t>HbA</w:t>
      </w:r>
      <w:r w:rsidR="00273627" w:rsidRPr="00924659">
        <w:rPr>
          <w:rFonts w:cs="Times New Roman"/>
          <w:b w:val="0"/>
          <w:spacing w:val="-1"/>
          <w:sz w:val="28"/>
          <w:szCs w:val="28"/>
          <w:vertAlign w:val="subscript"/>
        </w:rPr>
        <w:t>ıc</w:t>
      </w:r>
      <w:proofErr w:type="spellEnd"/>
      <w:r w:rsidRPr="00924659">
        <w:rPr>
          <w:rFonts w:cs="Times New Roman"/>
          <w:b w:val="0"/>
          <w:spacing w:val="-1"/>
          <w:szCs w:val="24"/>
        </w:rPr>
        <w:t xml:space="preserve"> düzeylerine katkıda bulunan kan şekeri yükselmesini azaltmak, </w:t>
      </w:r>
      <w:proofErr w:type="spellStart"/>
      <w:r w:rsidR="003D10D8" w:rsidRPr="00924659">
        <w:rPr>
          <w:rFonts w:cs="Times New Roman"/>
          <w:b w:val="0"/>
          <w:spacing w:val="-1"/>
          <w:szCs w:val="24"/>
        </w:rPr>
        <w:t>İNGLEX</w:t>
      </w:r>
      <w:r w:rsidR="00D47FCD" w:rsidRPr="00924659">
        <w:rPr>
          <w:rFonts w:cs="Times New Roman"/>
          <w:b w:val="0"/>
          <w:spacing w:val="-1"/>
          <w:szCs w:val="24"/>
        </w:rPr>
        <w:t>’in</w:t>
      </w:r>
      <w:proofErr w:type="spellEnd"/>
      <w:r w:rsidRPr="00924659">
        <w:rPr>
          <w:rFonts w:cs="Times New Roman"/>
          <w:b w:val="0"/>
          <w:spacing w:val="-1"/>
          <w:szCs w:val="24"/>
        </w:rPr>
        <w:t xml:space="preserve"> başlıca </w:t>
      </w:r>
      <w:proofErr w:type="spellStart"/>
      <w:r w:rsidRPr="00924659">
        <w:rPr>
          <w:rFonts w:cs="Times New Roman"/>
          <w:b w:val="0"/>
          <w:spacing w:val="-1"/>
          <w:szCs w:val="24"/>
        </w:rPr>
        <w:t>terapötik</w:t>
      </w:r>
      <w:proofErr w:type="spellEnd"/>
      <w:r w:rsidRPr="00924659">
        <w:rPr>
          <w:rFonts w:cs="Times New Roman"/>
          <w:b w:val="0"/>
          <w:spacing w:val="-1"/>
          <w:szCs w:val="24"/>
        </w:rPr>
        <w:t xml:space="preserve"> etkisi olduğundan bu ilaca alman </w:t>
      </w:r>
      <w:proofErr w:type="spellStart"/>
      <w:r w:rsidRPr="00924659">
        <w:rPr>
          <w:rFonts w:cs="Times New Roman"/>
          <w:b w:val="0"/>
          <w:spacing w:val="-1"/>
          <w:szCs w:val="24"/>
        </w:rPr>
        <w:t>terapötik</w:t>
      </w:r>
      <w:proofErr w:type="spellEnd"/>
      <w:r w:rsidRPr="00924659">
        <w:rPr>
          <w:rFonts w:cs="Times New Roman"/>
          <w:b w:val="0"/>
          <w:spacing w:val="-1"/>
          <w:szCs w:val="24"/>
        </w:rPr>
        <w:t xml:space="preserve"> cevap, yemekten sonraki 1-2 saat içerisinde yapılacak ölçümlerle de izlenebilir.</w:t>
      </w:r>
    </w:p>
    <w:p w:rsidR="00273627" w:rsidRPr="00924659" w:rsidRDefault="00405D0D" w:rsidP="00EB30C8">
      <w:pPr>
        <w:shd w:val="clear" w:color="auto" w:fill="FFFFFF"/>
        <w:spacing w:line="276" w:lineRule="auto"/>
        <w:ind w:right="19"/>
        <w:jc w:val="both"/>
        <w:rPr>
          <w:rFonts w:cs="Times New Roman"/>
          <w:b w:val="0"/>
          <w:spacing w:val="-1"/>
          <w:szCs w:val="24"/>
        </w:rPr>
        <w:sectPr w:rsidR="00273627" w:rsidRPr="00924659" w:rsidSect="00273627">
          <w:footerReference w:type="default" r:id="rId7"/>
          <w:pgSz w:w="11909" w:h="16834"/>
          <w:pgMar w:top="1440" w:right="1277" w:bottom="720" w:left="1276" w:header="708" w:footer="708" w:gutter="0"/>
          <w:cols w:space="60"/>
          <w:noEndnote/>
        </w:sectPr>
      </w:pPr>
      <w:r w:rsidRPr="00924659">
        <w:rPr>
          <w:rFonts w:cs="Times New Roman"/>
          <w:b w:val="0"/>
          <w:spacing w:val="-1"/>
          <w:szCs w:val="24"/>
        </w:rPr>
        <w:t xml:space="preserve">Klinik çalışmalar sırasında </w:t>
      </w:r>
      <w:proofErr w:type="spellStart"/>
      <w:r w:rsidR="00AB1DDF" w:rsidRPr="00924659">
        <w:rPr>
          <w:rFonts w:cs="Times New Roman"/>
          <w:b w:val="0"/>
          <w:spacing w:val="-1"/>
          <w:szCs w:val="24"/>
        </w:rPr>
        <w:t>nateglinid</w:t>
      </w:r>
      <w:proofErr w:type="spellEnd"/>
      <w:r w:rsidRPr="00924659">
        <w:rPr>
          <w:rFonts w:cs="Times New Roman"/>
          <w:b w:val="0"/>
          <w:spacing w:val="-1"/>
          <w:szCs w:val="24"/>
        </w:rPr>
        <w:t>, genellikle kahvaltı, öğle veya akşam yemeğinden önce olmak üzere, yemeklerden önce kullanılmıştır.</w:t>
      </w:r>
    </w:p>
    <w:p w:rsidR="00405D0D" w:rsidRPr="00924659" w:rsidRDefault="00405D0D" w:rsidP="00EB30C8">
      <w:pPr>
        <w:shd w:val="clear" w:color="auto" w:fill="FFFFFF"/>
        <w:spacing w:line="276" w:lineRule="auto"/>
        <w:jc w:val="both"/>
        <w:rPr>
          <w:rFonts w:cs="Times New Roman"/>
          <w:spacing w:val="-1"/>
          <w:szCs w:val="24"/>
        </w:rPr>
      </w:pPr>
      <w:r w:rsidRPr="00924659">
        <w:rPr>
          <w:rFonts w:cs="Times New Roman"/>
          <w:spacing w:val="-1"/>
          <w:szCs w:val="24"/>
        </w:rPr>
        <w:lastRenderedPageBreak/>
        <w:t>Kombinasyon tedavisi</w:t>
      </w:r>
    </w:p>
    <w:p w:rsidR="00405D0D" w:rsidRPr="00924659" w:rsidRDefault="003D10D8" w:rsidP="00EB30C8">
      <w:pPr>
        <w:shd w:val="clear" w:color="auto" w:fill="FFFFFF"/>
        <w:spacing w:line="276" w:lineRule="auto"/>
        <w:ind w:right="29"/>
        <w:jc w:val="both"/>
        <w:rPr>
          <w:rFonts w:cs="Times New Roman"/>
          <w:b w:val="0"/>
          <w:spacing w:val="-1"/>
          <w:szCs w:val="24"/>
        </w:rPr>
      </w:pPr>
      <w:r w:rsidRPr="00924659">
        <w:rPr>
          <w:rFonts w:cs="Times New Roman"/>
          <w:b w:val="0"/>
          <w:spacing w:val="-1"/>
          <w:szCs w:val="24"/>
        </w:rPr>
        <w:t>İNGLEX</w:t>
      </w:r>
      <w:r w:rsidR="00405D0D" w:rsidRPr="00924659">
        <w:rPr>
          <w:rFonts w:cs="Times New Roman"/>
          <w:b w:val="0"/>
          <w:spacing w:val="-1"/>
          <w:szCs w:val="24"/>
        </w:rPr>
        <w:t xml:space="preserve"> </w:t>
      </w:r>
      <w:proofErr w:type="spellStart"/>
      <w:r w:rsidR="00405D0D" w:rsidRPr="00924659">
        <w:rPr>
          <w:rFonts w:cs="Times New Roman"/>
          <w:b w:val="0"/>
          <w:spacing w:val="-1"/>
          <w:szCs w:val="24"/>
        </w:rPr>
        <w:t>monoterapisi</w:t>
      </w:r>
      <w:proofErr w:type="spellEnd"/>
      <w:r w:rsidR="00405D0D" w:rsidRPr="00924659">
        <w:rPr>
          <w:rFonts w:cs="Times New Roman"/>
          <w:b w:val="0"/>
          <w:spacing w:val="-1"/>
          <w:szCs w:val="24"/>
        </w:rPr>
        <w:t xml:space="preserve"> görmekte olmasına rağmen ilave tedaviye ihtiyacı olan hastalarda, idame dozuna ilave olarak </w:t>
      </w:r>
      <w:proofErr w:type="spellStart"/>
      <w:r w:rsidR="00405D0D" w:rsidRPr="00924659">
        <w:rPr>
          <w:rFonts w:cs="Times New Roman"/>
          <w:b w:val="0"/>
          <w:spacing w:val="-1"/>
          <w:szCs w:val="24"/>
        </w:rPr>
        <w:t>metformin</w:t>
      </w:r>
      <w:proofErr w:type="spellEnd"/>
      <w:r w:rsidR="00405D0D" w:rsidRPr="00924659">
        <w:rPr>
          <w:rFonts w:cs="Times New Roman"/>
          <w:b w:val="0"/>
          <w:spacing w:val="-1"/>
          <w:szCs w:val="24"/>
        </w:rPr>
        <w:t xml:space="preserve"> kullanılabilir.</w:t>
      </w:r>
    </w:p>
    <w:p w:rsidR="00405D0D" w:rsidRPr="00924659" w:rsidRDefault="00405D0D"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Metformin</w:t>
      </w:r>
      <w:proofErr w:type="spellEnd"/>
      <w:r w:rsidRPr="00924659">
        <w:rPr>
          <w:rFonts w:cs="Times New Roman"/>
          <w:b w:val="0"/>
          <w:spacing w:val="-1"/>
          <w:szCs w:val="24"/>
        </w:rPr>
        <w:t xml:space="preserve"> </w:t>
      </w:r>
      <w:proofErr w:type="spellStart"/>
      <w:r w:rsidRPr="00924659">
        <w:rPr>
          <w:rFonts w:cs="Times New Roman"/>
          <w:b w:val="0"/>
          <w:spacing w:val="-1"/>
          <w:szCs w:val="24"/>
        </w:rPr>
        <w:t>monoterapisi</w:t>
      </w:r>
      <w:proofErr w:type="spellEnd"/>
      <w:r w:rsidRPr="00924659">
        <w:rPr>
          <w:rFonts w:cs="Times New Roman"/>
          <w:b w:val="0"/>
          <w:spacing w:val="-1"/>
          <w:szCs w:val="24"/>
        </w:rPr>
        <w:t xml:space="preserve"> sırasında ilave tedaviye ihtiyaç duyan hastalarda genellikle kullanılan </w:t>
      </w:r>
      <w:r w:rsidR="003D10D8" w:rsidRPr="00924659">
        <w:rPr>
          <w:rFonts w:cs="Times New Roman"/>
          <w:b w:val="0"/>
          <w:spacing w:val="-1"/>
          <w:szCs w:val="24"/>
        </w:rPr>
        <w:t>İNGLEX</w:t>
      </w:r>
      <w:r w:rsidRPr="00924659">
        <w:rPr>
          <w:rFonts w:cs="Times New Roman"/>
          <w:b w:val="0"/>
          <w:spacing w:val="-1"/>
          <w:szCs w:val="24"/>
        </w:rPr>
        <w:t xml:space="preserve"> dozu, yemeklerden önce 120 mg dır. </w:t>
      </w:r>
    </w:p>
    <w:p w:rsidR="00AB1DDF" w:rsidRPr="00924659" w:rsidRDefault="00AB1DDF" w:rsidP="00EB30C8">
      <w:pPr>
        <w:shd w:val="clear" w:color="auto" w:fill="FFFFFF"/>
        <w:spacing w:line="276" w:lineRule="auto"/>
        <w:jc w:val="both"/>
        <w:rPr>
          <w:rFonts w:cs="Times New Roman"/>
          <w:spacing w:val="-1"/>
          <w:szCs w:val="24"/>
        </w:rPr>
      </w:pPr>
    </w:p>
    <w:p w:rsidR="00405D0D" w:rsidRPr="00924659" w:rsidRDefault="00405D0D" w:rsidP="00EB30C8">
      <w:pPr>
        <w:shd w:val="clear" w:color="auto" w:fill="FFFFFF"/>
        <w:spacing w:line="276" w:lineRule="auto"/>
        <w:jc w:val="both"/>
        <w:rPr>
          <w:rFonts w:cs="Times New Roman"/>
          <w:spacing w:val="-1"/>
          <w:szCs w:val="24"/>
        </w:rPr>
      </w:pPr>
      <w:r w:rsidRPr="00924659">
        <w:rPr>
          <w:rFonts w:cs="Times New Roman"/>
          <w:spacing w:val="-1"/>
          <w:szCs w:val="24"/>
        </w:rPr>
        <w:t>Uygulama şekli:</w:t>
      </w:r>
    </w:p>
    <w:p w:rsidR="00405D0D" w:rsidRPr="00924659" w:rsidRDefault="003D10D8" w:rsidP="00EB30C8">
      <w:pPr>
        <w:shd w:val="clear" w:color="auto" w:fill="FFFFFF"/>
        <w:spacing w:line="276" w:lineRule="auto"/>
        <w:ind w:right="5"/>
        <w:jc w:val="both"/>
        <w:rPr>
          <w:rFonts w:cs="Times New Roman"/>
          <w:b w:val="0"/>
          <w:spacing w:val="-1"/>
          <w:szCs w:val="24"/>
        </w:rPr>
      </w:pPr>
      <w:r w:rsidRPr="00924659">
        <w:rPr>
          <w:rFonts w:cs="Times New Roman"/>
          <w:b w:val="0"/>
          <w:spacing w:val="-1"/>
          <w:szCs w:val="24"/>
        </w:rPr>
        <w:t>İNGLEX</w:t>
      </w:r>
      <w:r w:rsidR="00405D0D" w:rsidRPr="00924659">
        <w:rPr>
          <w:rFonts w:cs="Times New Roman"/>
          <w:b w:val="0"/>
          <w:spacing w:val="-1"/>
          <w:szCs w:val="24"/>
        </w:rPr>
        <w:t>, yemeklerden önce alınmalıdır. Genellikle yemekten hemen (1 dakika) önce alınır ama yemekten önceki yarım saat içerisinde alınması da mümkündür.</w:t>
      </w:r>
    </w:p>
    <w:p w:rsidR="00AB1DDF" w:rsidRPr="00924659" w:rsidRDefault="00AB1DDF" w:rsidP="00EB30C8">
      <w:pPr>
        <w:shd w:val="clear" w:color="auto" w:fill="FFFFFF"/>
        <w:spacing w:line="276" w:lineRule="auto"/>
        <w:jc w:val="both"/>
        <w:rPr>
          <w:rFonts w:cs="Times New Roman"/>
          <w:spacing w:val="-1"/>
          <w:szCs w:val="24"/>
        </w:rPr>
      </w:pPr>
    </w:p>
    <w:p w:rsidR="00405D0D" w:rsidRPr="00924659" w:rsidRDefault="00405D0D" w:rsidP="00EB30C8">
      <w:pPr>
        <w:shd w:val="clear" w:color="auto" w:fill="FFFFFF"/>
        <w:spacing w:line="276" w:lineRule="auto"/>
        <w:jc w:val="both"/>
        <w:rPr>
          <w:rFonts w:cs="Times New Roman"/>
          <w:spacing w:val="-1"/>
          <w:szCs w:val="24"/>
        </w:rPr>
      </w:pPr>
      <w:r w:rsidRPr="00924659">
        <w:rPr>
          <w:rFonts w:cs="Times New Roman"/>
          <w:spacing w:val="-1"/>
          <w:szCs w:val="24"/>
        </w:rPr>
        <w:t>Özel popülasyonlara ilişkin ek bilgiler :</w:t>
      </w:r>
    </w:p>
    <w:p w:rsidR="00AB1DDF" w:rsidRPr="00924659" w:rsidRDefault="00AB1DDF" w:rsidP="00EB30C8">
      <w:pPr>
        <w:pStyle w:val="Default"/>
        <w:jc w:val="both"/>
        <w:rPr>
          <w:color w:val="auto"/>
        </w:rPr>
      </w:pPr>
      <w:r w:rsidRPr="00924659">
        <w:rPr>
          <w:b/>
          <w:bCs/>
          <w:color w:val="auto"/>
        </w:rPr>
        <w:t xml:space="preserve">Böbrek yetmezliği: </w:t>
      </w:r>
    </w:p>
    <w:p w:rsidR="00AB1DDF" w:rsidRPr="00924659" w:rsidRDefault="00AB1DDF" w:rsidP="00EB30C8">
      <w:pPr>
        <w:shd w:val="clear" w:color="auto" w:fill="FFFFFF"/>
        <w:spacing w:line="276" w:lineRule="auto"/>
        <w:jc w:val="both"/>
        <w:rPr>
          <w:b w:val="0"/>
          <w:szCs w:val="24"/>
        </w:rPr>
      </w:pPr>
      <w:r w:rsidRPr="00924659">
        <w:rPr>
          <w:b w:val="0"/>
          <w:szCs w:val="24"/>
        </w:rPr>
        <w:t xml:space="preserve">Böbrek fonksiyonları hafif – orta şiddette bozuk olan hastalarda doz ayarlanmasına ihtiyaç yoktur. </w:t>
      </w:r>
      <w:proofErr w:type="spellStart"/>
      <w:r w:rsidRPr="00924659">
        <w:rPr>
          <w:rFonts w:cs="Times New Roman"/>
          <w:b w:val="0"/>
          <w:spacing w:val="-1"/>
          <w:szCs w:val="24"/>
        </w:rPr>
        <w:t>Nateglinid</w:t>
      </w:r>
      <w:r w:rsidRPr="00924659">
        <w:rPr>
          <w:b w:val="0"/>
          <w:szCs w:val="24"/>
        </w:rPr>
        <w:t>’in</w:t>
      </w:r>
      <w:proofErr w:type="spellEnd"/>
      <w:r w:rsidRPr="00924659">
        <w:rPr>
          <w:b w:val="0"/>
          <w:szCs w:val="24"/>
        </w:rPr>
        <w:t xml:space="preserve"> orta-ileri derecede şiddetli böbrek yetmezliği (</w:t>
      </w:r>
      <w:proofErr w:type="spellStart"/>
      <w:r w:rsidRPr="00924659">
        <w:rPr>
          <w:b w:val="0"/>
          <w:szCs w:val="24"/>
        </w:rPr>
        <w:t>kreatinin</w:t>
      </w:r>
      <w:proofErr w:type="spellEnd"/>
      <w:r w:rsidRPr="00924659">
        <w:rPr>
          <w:b w:val="0"/>
          <w:szCs w:val="24"/>
        </w:rPr>
        <w:t xml:space="preserve"> </w:t>
      </w:r>
      <w:proofErr w:type="spellStart"/>
      <w:r w:rsidRPr="00924659">
        <w:rPr>
          <w:b w:val="0"/>
          <w:szCs w:val="24"/>
        </w:rPr>
        <w:t>klerensi</w:t>
      </w:r>
      <w:proofErr w:type="spellEnd"/>
      <w:r w:rsidRPr="00924659">
        <w:rPr>
          <w:b w:val="0"/>
          <w:szCs w:val="24"/>
        </w:rPr>
        <w:t xml:space="preserve"> dakikada 15-50 ml/1.73 m</w:t>
      </w:r>
      <w:r w:rsidRPr="00924659">
        <w:rPr>
          <w:b w:val="0"/>
          <w:position w:val="8"/>
          <w:szCs w:val="24"/>
          <w:vertAlign w:val="superscript"/>
        </w:rPr>
        <w:t>2</w:t>
      </w:r>
      <w:r w:rsidRPr="00924659">
        <w:rPr>
          <w:b w:val="0"/>
          <w:szCs w:val="24"/>
        </w:rPr>
        <w:t xml:space="preserve">) olan hastalarda ve diyalize ihtiyaç gösteren vakalardaki sistemik </w:t>
      </w:r>
      <w:proofErr w:type="spellStart"/>
      <w:r w:rsidRPr="00924659">
        <w:rPr>
          <w:b w:val="0"/>
          <w:szCs w:val="24"/>
        </w:rPr>
        <w:t>biyoyararlanımı</w:t>
      </w:r>
      <w:proofErr w:type="spellEnd"/>
      <w:r w:rsidRPr="00924659">
        <w:rPr>
          <w:b w:val="0"/>
          <w:szCs w:val="24"/>
        </w:rPr>
        <w:t xml:space="preserve"> ve eliminasyon yarı ömrü, sağlıklı deneklerdekinden, istatistik anlama sahip olacak derecede farklı değildir (</w:t>
      </w:r>
      <w:proofErr w:type="spellStart"/>
      <w:r w:rsidRPr="00924659">
        <w:rPr>
          <w:b w:val="0"/>
          <w:szCs w:val="24"/>
        </w:rPr>
        <w:t>bkz.bölüm</w:t>
      </w:r>
      <w:proofErr w:type="spellEnd"/>
      <w:r w:rsidRPr="00924659">
        <w:rPr>
          <w:b w:val="0"/>
          <w:szCs w:val="24"/>
        </w:rPr>
        <w:t xml:space="preserve"> 5.2). </w:t>
      </w:r>
    </w:p>
    <w:p w:rsidR="00AB1DDF" w:rsidRPr="00924659" w:rsidRDefault="00AB1DDF" w:rsidP="00EB30C8">
      <w:pPr>
        <w:shd w:val="clear" w:color="auto" w:fill="FFFFFF"/>
        <w:spacing w:line="276" w:lineRule="auto"/>
        <w:jc w:val="both"/>
        <w:rPr>
          <w:bCs/>
          <w:szCs w:val="24"/>
        </w:rPr>
      </w:pPr>
      <w:r w:rsidRPr="00924659">
        <w:rPr>
          <w:bCs/>
          <w:szCs w:val="24"/>
        </w:rPr>
        <w:t>Karaciğer yetmezliği:</w:t>
      </w:r>
    </w:p>
    <w:p w:rsidR="00AB1DDF" w:rsidRPr="00924659" w:rsidRDefault="00AB1DDF" w:rsidP="00EB30C8">
      <w:pPr>
        <w:shd w:val="clear" w:color="auto" w:fill="FFFFFF"/>
        <w:spacing w:line="276" w:lineRule="auto"/>
        <w:jc w:val="both"/>
        <w:rPr>
          <w:b w:val="0"/>
          <w:szCs w:val="24"/>
        </w:rPr>
      </w:pPr>
      <w:r w:rsidRPr="00924659">
        <w:rPr>
          <w:b w:val="0"/>
          <w:szCs w:val="24"/>
        </w:rPr>
        <w:t xml:space="preserve">Hafif - orta şiddette karaciğer hastalığı olan vakalarda doz ayarlanmasına ihtiyaç yoktur. Ağır karaciğer yetmezliği olan hastalar incelenmemiştir ve </w:t>
      </w:r>
      <w:r w:rsidRPr="00924659">
        <w:rPr>
          <w:rFonts w:cs="Times New Roman"/>
          <w:b w:val="0"/>
          <w:spacing w:val="-1"/>
          <w:szCs w:val="24"/>
        </w:rPr>
        <w:t>İNGLEX</w:t>
      </w:r>
      <w:r w:rsidRPr="00924659">
        <w:rPr>
          <w:b w:val="0"/>
          <w:szCs w:val="24"/>
        </w:rPr>
        <w:t xml:space="preserve"> bu grupta </w:t>
      </w:r>
      <w:proofErr w:type="spellStart"/>
      <w:r w:rsidRPr="00924659">
        <w:rPr>
          <w:b w:val="0"/>
          <w:szCs w:val="24"/>
        </w:rPr>
        <w:t>kontrendikedir</w:t>
      </w:r>
      <w:proofErr w:type="spellEnd"/>
      <w:r w:rsidRPr="00924659">
        <w:rPr>
          <w:b w:val="0"/>
          <w:szCs w:val="24"/>
        </w:rPr>
        <w:t>. (</w:t>
      </w:r>
      <w:proofErr w:type="spellStart"/>
      <w:r w:rsidRPr="00924659">
        <w:rPr>
          <w:b w:val="0"/>
          <w:szCs w:val="24"/>
        </w:rPr>
        <w:t>bkz.bölüm</w:t>
      </w:r>
      <w:proofErr w:type="spellEnd"/>
      <w:r w:rsidRPr="00924659">
        <w:rPr>
          <w:b w:val="0"/>
          <w:szCs w:val="24"/>
        </w:rPr>
        <w:t xml:space="preserve"> 5.2).</w:t>
      </w:r>
    </w:p>
    <w:p w:rsidR="00405D0D" w:rsidRPr="00924659" w:rsidRDefault="00405D0D" w:rsidP="00EB30C8">
      <w:pPr>
        <w:shd w:val="clear" w:color="auto" w:fill="FFFFFF"/>
        <w:spacing w:line="276" w:lineRule="auto"/>
        <w:jc w:val="both"/>
        <w:rPr>
          <w:rFonts w:cs="Times New Roman"/>
          <w:spacing w:val="-1"/>
          <w:szCs w:val="24"/>
        </w:rPr>
      </w:pPr>
      <w:proofErr w:type="spellStart"/>
      <w:r w:rsidRPr="00924659">
        <w:rPr>
          <w:rFonts w:cs="Times New Roman"/>
          <w:spacing w:val="-1"/>
          <w:szCs w:val="24"/>
        </w:rPr>
        <w:t>Pediyatrik</w:t>
      </w:r>
      <w:proofErr w:type="spellEnd"/>
      <w:r w:rsidRPr="00924659">
        <w:rPr>
          <w:rFonts w:cs="Times New Roman"/>
          <w:spacing w:val="-1"/>
          <w:szCs w:val="24"/>
        </w:rPr>
        <w:t xml:space="preserve"> popülasyon:</w:t>
      </w:r>
    </w:p>
    <w:p w:rsidR="00405D0D" w:rsidRPr="00924659" w:rsidRDefault="003D10D8"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İNGLEX</w:t>
      </w:r>
      <w:r w:rsidR="00D47FCD" w:rsidRPr="00924659">
        <w:rPr>
          <w:rFonts w:cs="Times New Roman"/>
          <w:b w:val="0"/>
          <w:spacing w:val="-1"/>
          <w:szCs w:val="24"/>
        </w:rPr>
        <w:t>’in</w:t>
      </w:r>
      <w:proofErr w:type="spellEnd"/>
      <w:r w:rsidR="00405D0D" w:rsidRPr="00924659">
        <w:rPr>
          <w:rFonts w:cs="Times New Roman"/>
          <w:b w:val="0"/>
          <w:spacing w:val="-1"/>
          <w:szCs w:val="24"/>
        </w:rPr>
        <w:t xml:space="preserve"> </w:t>
      </w:r>
      <w:r w:rsidR="00EB30C8" w:rsidRPr="00924659">
        <w:rPr>
          <w:b w:val="0"/>
          <w:szCs w:val="24"/>
        </w:rPr>
        <w:t>18 yaşın altındaki hasta grubunda</w:t>
      </w:r>
      <w:r w:rsidR="00EB30C8" w:rsidRPr="00924659">
        <w:rPr>
          <w:szCs w:val="24"/>
        </w:rPr>
        <w:t xml:space="preserve"> </w:t>
      </w:r>
      <w:r w:rsidR="00405D0D" w:rsidRPr="00924659">
        <w:rPr>
          <w:rFonts w:cs="Times New Roman"/>
          <w:b w:val="0"/>
          <w:spacing w:val="-1"/>
          <w:szCs w:val="24"/>
        </w:rPr>
        <w:t xml:space="preserve">etkinlik ve güvenliliği değerlendirilmemiştir. Bu nedenle de </w:t>
      </w:r>
      <w:proofErr w:type="spellStart"/>
      <w:r w:rsidRPr="00924659">
        <w:rPr>
          <w:rFonts w:cs="Times New Roman"/>
          <w:b w:val="0"/>
          <w:spacing w:val="-1"/>
          <w:szCs w:val="24"/>
        </w:rPr>
        <w:t>İNGLEX</w:t>
      </w:r>
      <w:r w:rsidR="00D47FCD" w:rsidRPr="00924659">
        <w:rPr>
          <w:rFonts w:cs="Times New Roman"/>
          <w:b w:val="0"/>
          <w:spacing w:val="-1"/>
          <w:szCs w:val="24"/>
        </w:rPr>
        <w:t>’in</w:t>
      </w:r>
      <w:proofErr w:type="spellEnd"/>
      <w:r w:rsidR="00405D0D" w:rsidRPr="00924659">
        <w:rPr>
          <w:rFonts w:cs="Times New Roman"/>
          <w:b w:val="0"/>
          <w:spacing w:val="-1"/>
          <w:szCs w:val="24"/>
        </w:rPr>
        <w:t xml:space="preserve"> söz konusu hasta popülasyonunda kullanılması önerilmez (bkz.</w:t>
      </w:r>
      <w:r w:rsidR="00A214B7" w:rsidRPr="00924659">
        <w:rPr>
          <w:rFonts w:cs="Times New Roman"/>
          <w:b w:val="0"/>
          <w:spacing w:val="-1"/>
          <w:szCs w:val="24"/>
        </w:rPr>
        <w:t xml:space="preserve"> </w:t>
      </w:r>
      <w:r w:rsidR="00405D0D" w:rsidRPr="00924659">
        <w:rPr>
          <w:rFonts w:cs="Times New Roman"/>
          <w:b w:val="0"/>
          <w:spacing w:val="-1"/>
          <w:szCs w:val="24"/>
        </w:rPr>
        <w:t>bölüm 5.2).</w:t>
      </w:r>
    </w:p>
    <w:p w:rsidR="00405D0D" w:rsidRPr="00924659" w:rsidRDefault="00405D0D" w:rsidP="00EB30C8">
      <w:pPr>
        <w:shd w:val="clear" w:color="auto" w:fill="FFFFFF"/>
        <w:spacing w:line="276" w:lineRule="auto"/>
        <w:jc w:val="both"/>
        <w:rPr>
          <w:rFonts w:cs="Times New Roman"/>
          <w:spacing w:val="-1"/>
          <w:szCs w:val="24"/>
        </w:rPr>
      </w:pPr>
      <w:proofErr w:type="spellStart"/>
      <w:r w:rsidRPr="00924659">
        <w:rPr>
          <w:rFonts w:cs="Times New Roman"/>
          <w:spacing w:val="-1"/>
          <w:szCs w:val="24"/>
        </w:rPr>
        <w:t>Geriyatrik</w:t>
      </w:r>
      <w:proofErr w:type="spellEnd"/>
      <w:r w:rsidRPr="00924659">
        <w:rPr>
          <w:rFonts w:cs="Times New Roman"/>
          <w:spacing w:val="-1"/>
          <w:szCs w:val="24"/>
        </w:rPr>
        <w:t xml:space="preserve"> popülasyon:</w:t>
      </w:r>
    </w:p>
    <w:p w:rsidR="00405D0D" w:rsidRPr="00924659" w:rsidRDefault="003D10D8"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İNGLEX</w:t>
      </w:r>
      <w:r w:rsidR="00D47FCD" w:rsidRPr="00924659">
        <w:rPr>
          <w:rFonts w:cs="Times New Roman"/>
          <w:b w:val="0"/>
          <w:spacing w:val="-1"/>
          <w:szCs w:val="24"/>
        </w:rPr>
        <w:t>’in</w:t>
      </w:r>
      <w:proofErr w:type="spellEnd"/>
      <w:r w:rsidR="00405D0D" w:rsidRPr="00924659">
        <w:rPr>
          <w:rFonts w:cs="Times New Roman"/>
          <w:b w:val="0"/>
          <w:spacing w:val="-1"/>
          <w:szCs w:val="24"/>
        </w:rPr>
        <w:t xml:space="preserve"> güvenlilik ve etkinlik profilleri bakımından yaşlı hastalarla toplum geneli arasında herhangi bir fark gözlemlenmemiştir. Ay</w:t>
      </w:r>
      <w:r w:rsidR="00AB6649" w:rsidRPr="00924659">
        <w:rPr>
          <w:rFonts w:cs="Times New Roman"/>
          <w:b w:val="0"/>
          <w:spacing w:val="-1"/>
          <w:szCs w:val="24"/>
        </w:rPr>
        <w:t>rıca hastanı</w:t>
      </w:r>
      <w:r w:rsidR="00405D0D" w:rsidRPr="00924659">
        <w:rPr>
          <w:rFonts w:cs="Times New Roman"/>
          <w:b w:val="0"/>
          <w:spacing w:val="-1"/>
          <w:szCs w:val="24"/>
        </w:rPr>
        <w:t xml:space="preserve">n yaşı, </w:t>
      </w:r>
      <w:proofErr w:type="spellStart"/>
      <w:r w:rsidRPr="00924659">
        <w:rPr>
          <w:rFonts w:cs="Times New Roman"/>
          <w:b w:val="0"/>
          <w:spacing w:val="-1"/>
          <w:szCs w:val="24"/>
        </w:rPr>
        <w:t>İNGLEX</w:t>
      </w:r>
      <w:r w:rsidR="00D47FCD" w:rsidRPr="00924659">
        <w:rPr>
          <w:rFonts w:cs="Times New Roman"/>
          <w:b w:val="0"/>
          <w:spacing w:val="-1"/>
          <w:szCs w:val="24"/>
        </w:rPr>
        <w:t>’in</w:t>
      </w:r>
      <w:proofErr w:type="spellEnd"/>
      <w:r w:rsidR="00405D0D" w:rsidRPr="00924659">
        <w:rPr>
          <w:rFonts w:cs="Times New Roman"/>
          <w:b w:val="0"/>
          <w:spacing w:val="-1"/>
          <w:szCs w:val="24"/>
        </w:rPr>
        <w:t xml:space="preserve"> </w:t>
      </w:r>
      <w:proofErr w:type="spellStart"/>
      <w:r w:rsidR="00405D0D" w:rsidRPr="00924659">
        <w:rPr>
          <w:rFonts w:cs="Times New Roman"/>
          <w:b w:val="0"/>
          <w:spacing w:val="-1"/>
          <w:szCs w:val="24"/>
        </w:rPr>
        <w:t>farmakokinetik</w:t>
      </w:r>
      <w:proofErr w:type="spellEnd"/>
      <w:r w:rsidR="00405D0D" w:rsidRPr="00924659">
        <w:rPr>
          <w:rFonts w:cs="Times New Roman"/>
          <w:b w:val="0"/>
          <w:spacing w:val="-1"/>
          <w:szCs w:val="24"/>
        </w:rPr>
        <w:t xml:space="preserve"> özelliklerini etkilememiştir. Bu nedenle de yaşlı hastalarda kullanılacak dozun, özellikle ayarlanması gerekmez (bkz.</w:t>
      </w:r>
      <w:r w:rsidR="00A214B7" w:rsidRPr="00924659">
        <w:rPr>
          <w:rFonts w:cs="Times New Roman"/>
          <w:b w:val="0"/>
          <w:spacing w:val="-1"/>
          <w:szCs w:val="24"/>
        </w:rPr>
        <w:t xml:space="preserve"> </w:t>
      </w:r>
      <w:r w:rsidR="00405D0D" w:rsidRPr="00924659">
        <w:rPr>
          <w:rFonts w:cs="Times New Roman"/>
          <w:b w:val="0"/>
          <w:spacing w:val="-1"/>
          <w:szCs w:val="24"/>
        </w:rPr>
        <w:t>bölüm 5.2).</w:t>
      </w:r>
      <w:r w:rsidR="00EB30C8" w:rsidRPr="00924659">
        <w:rPr>
          <w:rFonts w:cs="Times New Roman"/>
          <w:b w:val="0"/>
          <w:spacing w:val="-1"/>
          <w:szCs w:val="24"/>
        </w:rPr>
        <w:t xml:space="preserve"> </w:t>
      </w:r>
      <w:r w:rsidR="00EB30C8" w:rsidRPr="00924659">
        <w:rPr>
          <w:b w:val="0"/>
          <w:szCs w:val="24"/>
        </w:rPr>
        <w:t>75 yaş üzeri hastalarda klinik deneyim sınırlıdır.</w:t>
      </w:r>
    </w:p>
    <w:p w:rsidR="00EB30C8" w:rsidRPr="00924659" w:rsidRDefault="00EB30C8" w:rsidP="00EB30C8">
      <w:pPr>
        <w:pStyle w:val="Default"/>
        <w:rPr>
          <w:color w:val="auto"/>
          <w:sz w:val="23"/>
          <w:szCs w:val="23"/>
        </w:rPr>
      </w:pPr>
      <w:r w:rsidRPr="00924659">
        <w:rPr>
          <w:b/>
          <w:bCs/>
          <w:color w:val="auto"/>
          <w:sz w:val="23"/>
          <w:szCs w:val="23"/>
        </w:rPr>
        <w:t xml:space="preserve">Diğerleri: </w:t>
      </w:r>
    </w:p>
    <w:p w:rsidR="00A214B7" w:rsidRPr="00924659" w:rsidRDefault="00EB30C8" w:rsidP="00EB30C8">
      <w:pPr>
        <w:shd w:val="clear" w:color="auto" w:fill="FFFFFF"/>
        <w:spacing w:line="276" w:lineRule="auto"/>
        <w:ind w:right="14"/>
        <w:jc w:val="both"/>
        <w:rPr>
          <w:b w:val="0"/>
          <w:szCs w:val="24"/>
        </w:rPr>
      </w:pPr>
      <w:r w:rsidRPr="00924659">
        <w:rPr>
          <w:b w:val="0"/>
          <w:szCs w:val="24"/>
        </w:rPr>
        <w:t xml:space="preserve">Güçten düşen ya da beslenme yetersizliği olan hastalarda başlangıç ve idame dozajının konservatif olması ve </w:t>
      </w:r>
      <w:proofErr w:type="spellStart"/>
      <w:r w:rsidRPr="00924659">
        <w:rPr>
          <w:b w:val="0"/>
          <w:szCs w:val="24"/>
        </w:rPr>
        <w:t>hipoglisemik</w:t>
      </w:r>
      <w:proofErr w:type="spellEnd"/>
      <w:r w:rsidRPr="00924659">
        <w:rPr>
          <w:b w:val="0"/>
          <w:szCs w:val="24"/>
        </w:rPr>
        <w:t xml:space="preserve"> reaksiyonları önlemek için dikkatli titre edilmesi gereklidir.</w:t>
      </w:r>
    </w:p>
    <w:p w:rsidR="00EB30C8" w:rsidRPr="00924659" w:rsidRDefault="00EB30C8" w:rsidP="00EB30C8">
      <w:pPr>
        <w:shd w:val="clear" w:color="auto" w:fill="FFFFFF"/>
        <w:spacing w:line="276" w:lineRule="auto"/>
        <w:ind w:right="14"/>
        <w:jc w:val="both"/>
        <w:rPr>
          <w:rFonts w:cs="Times New Roman"/>
          <w:b w:val="0"/>
          <w:spacing w:val="-1"/>
          <w:szCs w:val="24"/>
        </w:rPr>
      </w:pPr>
    </w:p>
    <w:p w:rsidR="00405D0D" w:rsidRPr="00924659" w:rsidRDefault="00405D0D" w:rsidP="00EB30C8">
      <w:pPr>
        <w:shd w:val="clear" w:color="auto" w:fill="FFFFFF"/>
        <w:tabs>
          <w:tab w:val="left" w:pos="426"/>
        </w:tabs>
        <w:spacing w:line="276" w:lineRule="auto"/>
        <w:jc w:val="both"/>
        <w:rPr>
          <w:rFonts w:cs="Times New Roman"/>
          <w:spacing w:val="-1"/>
          <w:szCs w:val="24"/>
        </w:rPr>
      </w:pPr>
      <w:r w:rsidRPr="00924659">
        <w:rPr>
          <w:rFonts w:cs="Times New Roman"/>
          <w:spacing w:val="-1"/>
          <w:szCs w:val="24"/>
        </w:rPr>
        <w:t>4.3.</w:t>
      </w:r>
      <w:r w:rsidRPr="00924659">
        <w:rPr>
          <w:rFonts w:cs="Times New Roman"/>
          <w:spacing w:val="-1"/>
          <w:szCs w:val="24"/>
        </w:rPr>
        <w:tab/>
      </w:r>
      <w:proofErr w:type="spellStart"/>
      <w:r w:rsidRPr="00924659">
        <w:rPr>
          <w:rFonts w:cs="Times New Roman"/>
          <w:spacing w:val="-1"/>
          <w:szCs w:val="24"/>
        </w:rPr>
        <w:t>Kontrendikasyonlar</w:t>
      </w:r>
      <w:proofErr w:type="spellEnd"/>
    </w:p>
    <w:p w:rsidR="00405D0D" w:rsidRPr="00924659" w:rsidRDefault="003D10D8"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İNGLEX</w:t>
      </w:r>
      <w:r w:rsidR="00405D0D" w:rsidRPr="00924659">
        <w:rPr>
          <w:rFonts w:cs="Times New Roman"/>
          <w:b w:val="0"/>
          <w:spacing w:val="-1"/>
          <w:szCs w:val="24"/>
        </w:rPr>
        <w:t xml:space="preserve">, aşağıdaki hastalarda </w:t>
      </w:r>
      <w:proofErr w:type="spellStart"/>
      <w:r w:rsidR="00405D0D" w:rsidRPr="00924659">
        <w:rPr>
          <w:rFonts w:cs="Times New Roman"/>
          <w:b w:val="0"/>
          <w:spacing w:val="-1"/>
          <w:szCs w:val="24"/>
        </w:rPr>
        <w:t>kontrendikedir</w:t>
      </w:r>
      <w:proofErr w:type="spellEnd"/>
      <w:r w:rsidR="00405D0D" w:rsidRPr="00924659">
        <w:rPr>
          <w:rFonts w:cs="Times New Roman"/>
          <w:b w:val="0"/>
          <w:spacing w:val="-1"/>
          <w:szCs w:val="24"/>
        </w:rPr>
        <w:t>:</w:t>
      </w:r>
    </w:p>
    <w:p w:rsidR="00405D0D" w:rsidRPr="00924659" w:rsidRDefault="00405D0D" w:rsidP="00EB30C8">
      <w:pPr>
        <w:numPr>
          <w:ilvl w:val="0"/>
          <w:numId w:val="8"/>
        </w:numPr>
        <w:shd w:val="clear" w:color="auto" w:fill="FFFFFF"/>
        <w:spacing w:line="276" w:lineRule="auto"/>
        <w:ind w:left="0" w:right="14"/>
        <w:jc w:val="both"/>
        <w:rPr>
          <w:rFonts w:cs="Times New Roman"/>
          <w:b w:val="0"/>
          <w:spacing w:val="-1"/>
          <w:szCs w:val="24"/>
        </w:rPr>
      </w:pPr>
      <w:r w:rsidRPr="00924659">
        <w:rPr>
          <w:rFonts w:cs="Times New Roman"/>
          <w:b w:val="0"/>
          <w:spacing w:val="-1"/>
          <w:szCs w:val="24"/>
        </w:rPr>
        <w:t xml:space="preserve">Etkin madde ya da yardımcı maddelerinden herhangi birine </w:t>
      </w:r>
      <w:r w:rsidR="00A356C8" w:rsidRPr="00924659">
        <w:rPr>
          <w:rFonts w:cs="Times New Roman"/>
          <w:b w:val="0"/>
          <w:spacing w:val="-1"/>
          <w:szCs w:val="24"/>
        </w:rPr>
        <w:t>karşı</w:t>
      </w:r>
      <w:r w:rsidRPr="00924659">
        <w:rPr>
          <w:rFonts w:cs="Times New Roman"/>
          <w:b w:val="0"/>
          <w:spacing w:val="-1"/>
          <w:szCs w:val="24"/>
        </w:rPr>
        <w:t xml:space="preserve"> aşın duyarlılığı olanlar,</w:t>
      </w:r>
    </w:p>
    <w:p w:rsidR="00405D0D" w:rsidRPr="00924659" w:rsidRDefault="00405D0D" w:rsidP="00EB30C8">
      <w:pPr>
        <w:numPr>
          <w:ilvl w:val="0"/>
          <w:numId w:val="8"/>
        </w:numPr>
        <w:shd w:val="clear" w:color="auto" w:fill="FFFFFF"/>
        <w:spacing w:line="276" w:lineRule="auto"/>
        <w:ind w:left="0" w:right="14"/>
        <w:jc w:val="both"/>
        <w:rPr>
          <w:rFonts w:cs="Times New Roman"/>
          <w:b w:val="0"/>
          <w:spacing w:val="-1"/>
          <w:szCs w:val="24"/>
        </w:rPr>
      </w:pPr>
      <w:r w:rsidRPr="00924659">
        <w:rPr>
          <w:rFonts w:cs="Times New Roman"/>
          <w:b w:val="0"/>
          <w:spacing w:val="-1"/>
          <w:szCs w:val="24"/>
        </w:rPr>
        <w:t xml:space="preserve">Tip 1 </w:t>
      </w:r>
      <w:proofErr w:type="spellStart"/>
      <w:r w:rsidR="00EB30C8" w:rsidRPr="00924659">
        <w:rPr>
          <w:rFonts w:cs="Times New Roman"/>
          <w:b w:val="0"/>
          <w:spacing w:val="-1"/>
          <w:szCs w:val="24"/>
        </w:rPr>
        <w:t>diabetes</w:t>
      </w:r>
      <w:proofErr w:type="spellEnd"/>
      <w:r w:rsidR="00EB30C8" w:rsidRPr="00924659">
        <w:rPr>
          <w:rFonts w:cs="Times New Roman"/>
          <w:b w:val="0"/>
          <w:spacing w:val="-1"/>
          <w:szCs w:val="24"/>
        </w:rPr>
        <w:t xml:space="preserve"> </w:t>
      </w:r>
      <w:proofErr w:type="spellStart"/>
      <w:r w:rsidR="00EB30C8" w:rsidRPr="00924659">
        <w:rPr>
          <w:rFonts w:cs="Times New Roman"/>
          <w:b w:val="0"/>
          <w:spacing w:val="-1"/>
          <w:szCs w:val="24"/>
        </w:rPr>
        <w:t>mellitusta</w:t>
      </w:r>
      <w:proofErr w:type="spellEnd"/>
      <w:r w:rsidR="00EB30C8" w:rsidRPr="00924659">
        <w:rPr>
          <w:rFonts w:cs="Times New Roman"/>
          <w:b w:val="0"/>
          <w:spacing w:val="-1"/>
          <w:szCs w:val="24"/>
        </w:rPr>
        <w:t xml:space="preserve">, </w:t>
      </w:r>
      <w:r w:rsidRPr="00924659">
        <w:rPr>
          <w:rFonts w:cs="Times New Roman"/>
          <w:b w:val="0"/>
          <w:spacing w:val="-1"/>
          <w:szCs w:val="24"/>
        </w:rPr>
        <w:t>(</w:t>
      </w:r>
      <w:r w:rsidR="00EB30C8" w:rsidRPr="00924659">
        <w:rPr>
          <w:b w:val="0"/>
          <w:szCs w:val="24"/>
        </w:rPr>
        <w:t>C-</w:t>
      </w:r>
      <w:proofErr w:type="spellStart"/>
      <w:r w:rsidR="00EB30C8" w:rsidRPr="00924659">
        <w:rPr>
          <w:b w:val="0"/>
          <w:szCs w:val="24"/>
        </w:rPr>
        <w:t>peptid</w:t>
      </w:r>
      <w:proofErr w:type="spellEnd"/>
      <w:r w:rsidR="00EB30C8" w:rsidRPr="00924659">
        <w:rPr>
          <w:b w:val="0"/>
          <w:szCs w:val="24"/>
        </w:rPr>
        <w:t xml:space="preserve"> negatif</w:t>
      </w:r>
      <w:r w:rsidRPr="00924659">
        <w:rPr>
          <w:rFonts w:cs="Times New Roman"/>
          <w:b w:val="0"/>
          <w:spacing w:val="-1"/>
          <w:szCs w:val="24"/>
        </w:rPr>
        <w:t xml:space="preserve">) </w:t>
      </w:r>
    </w:p>
    <w:p w:rsidR="00405D0D" w:rsidRPr="00924659" w:rsidRDefault="00405D0D" w:rsidP="00EB30C8">
      <w:pPr>
        <w:numPr>
          <w:ilvl w:val="0"/>
          <w:numId w:val="8"/>
        </w:numPr>
        <w:shd w:val="clear" w:color="auto" w:fill="FFFFFF"/>
        <w:spacing w:line="276" w:lineRule="auto"/>
        <w:ind w:left="0" w:right="14"/>
        <w:jc w:val="both"/>
        <w:rPr>
          <w:rFonts w:cs="Times New Roman"/>
          <w:b w:val="0"/>
          <w:spacing w:val="-1"/>
          <w:szCs w:val="24"/>
        </w:rPr>
      </w:pPr>
      <w:r w:rsidRPr="00924659">
        <w:rPr>
          <w:rFonts w:cs="Times New Roman"/>
          <w:b w:val="0"/>
          <w:spacing w:val="-1"/>
          <w:szCs w:val="24"/>
        </w:rPr>
        <w:t xml:space="preserve">Diyabetik </w:t>
      </w:r>
      <w:proofErr w:type="spellStart"/>
      <w:r w:rsidRPr="00924659">
        <w:rPr>
          <w:rFonts w:cs="Times New Roman"/>
          <w:b w:val="0"/>
          <w:spacing w:val="-1"/>
          <w:szCs w:val="24"/>
        </w:rPr>
        <w:t>ketoasidoz</w:t>
      </w:r>
      <w:proofErr w:type="spellEnd"/>
    </w:p>
    <w:p w:rsidR="00EB30C8" w:rsidRPr="00924659" w:rsidRDefault="00EB30C8" w:rsidP="00EB30C8">
      <w:pPr>
        <w:numPr>
          <w:ilvl w:val="0"/>
          <w:numId w:val="8"/>
        </w:numPr>
        <w:shd w:val="clear" w:color="auto" w:fill="FFFFFF"/>
        <w:spacing w:line="276" w:lineRule="auto"/>
        <w:ind w:left="0" w:right="14"/>
        <w:jc w:val="both"/>
        <w:rPr>
          <w:rFonts w:cs="Times New Roman"/>
          <w:b w:val="0"/>
          <w:spacing w:val="-1"/>
          <w:szCs w:val="24"/>
        </w:rPr>
      </w:pPr>
      <w:r w:rsidRPr="00924659">
        <w:rPr>
          <w:rFonts w:cs="Times New Roman"/>
          <w:b w:val="0"/>
          <w:spacing w:val="-1"/>
          <w:szCs w:val="24"/>
        </w:rPr>
        <w:t>Şiddetli karaciğer bozukluğu</w:t>
      </w:r>
    </w:p>
    <w:p w:rsidR="00273627" w:rsidRPr="00924659" w:rsidRDefault="00405D0D" w:rsidP="00EB30C8">
      <w:pPr>
        <w:numPr>
          <w:ilvl w:val="0"/>
          <w:numId w:val="8"/>
        </w:numPr>
        <w:shd w:val="clear" w:color="auto" w:fill="FFFFFF"/>
        <w:spacing w:line="276" w:lineRule="auto"/>
        <w:ind w:left="0" w:right="14"/>
        <w:jc w:val="both"/>
        <w:rPr>
          <w:rFonts w:cs="Times New Roman"/>
          <w:b w:val="0"/>
          <w:spacing w:val="-1"/>
          <w:szCs w:val="24"/>
        </w:rPr>
        <w:sectPr w:rsidR="00273627" w:rsidRPr="00924659" w:rsidSect="00273627">
          <w:pgSz w:w="11909" w:h="16834"/>
          <w:pgMar w:top="1440" w:right="1277" w:bottom="720" w:left="1276" w:header="708" w:footer="708" w:gutter="0"/>
          <w:cols w:space="60"/>
          <w:noEndnote/>
        </w:sectPr>
      </w:pPr>
      <w:r w:rsidRPr="00924659">
        <w:rPr>
          <w:rFonts w:cs="Times New Roman"/>
          <w:b w:val="0"/>
          <w:spacing w:val="-1"/>
          <w:szCs w:val="24"/>
        </w:rPr>
        <w:t xml:space="preserve">Gebeler ve bebeğini emziren anneler (bkz: 4.6 Gebelik ve </w:t>
      </w:r>
      <w:proofErr w:type="spellStart"/>
      <w:r w:rsidRPr="00924659">
        <w:rPr>
          <w:rFonts w:cs="Times New Roman"/>
          <w:b w:val="0"/>
          <w:spacing w:val="-1"/>
          <w:szCs w:val="24"/>
        </w:rPr>
        <w:t>laktasyon</w:t>
      </w:r>
      <w:proofErr w:type="spellEnd"/>
      <w:r w:rsidRPr="00924659">
        <w:rPr>
          <w:rFonts w:cs="Times New Roman"/>
          <w:b w:val="0"/>
          <w:spacing w:val="-1"/>
          <w:szCs w:val="24"/>
        </w:rPr>
        <w:t xml:space="preserve"> bölümü)</w:t>
      </w:r>
    </w:p>
    <w:p w:rsidR="00405D0D" w:rsidRPr="00924659" w:rsidRDefault="00405D0D" w:rsidP="00EB30C8">
      <w:pPr>
        <w:shd w:val="clear" w:color="auto" w:fill="FFFFFF"/>
        <w:tabs>
          <w:tab w:val="left" w:pos="494"/>
        </w:tabs>
        <w:spacing w:line="276" w:lineRule="auto"/>
        <w:jc w:val="both"/>
        <w:rPr>
          <w:rFonts w:cs="Times New Roman"/>
          <w:spacing w:val="-1"/>
          <w:szCs w:val="24"/>
        </w:rPr>
      </w:pPr>
      <w:r w:rsidRPr="00924659">
        <w:rPr>
          <w:rFonts w:cs="Times New Roman"/>
          <w:spacing w:val="-1"/>
          <w:szCs w:val="24"/>
        </w:rPr>
        <w:lastRenderedPageBreak/>
        <w:t>4.4.</w:t>
      </w:r>
      <w:r w:rsidRPr="00924659">
        <w:rPr>
          <w:rFonts w:cs="Times New Roman"/>
          <w:spacing w:val="-1"/>
          <w:szCs w:val="24"/>
        </w:rPr>
        <w:tab/>
        <w:t>Özel kullanım uyarıları ve önlemleri</w:t>
      </w:r>
    </w:p>
    <w:p w:rsidR="00EB30C8" w:rsidRPr="00924659" w:rsidRDefault="00EB30C8" w:rsidP="00EB30C8">
      <w:pPr>
        <w:shd w:val="clear" w:color="auto" w:fill="FFFFFF"/>
        <w:spacing w:line="276" w:lineRule="auto"/>
        <w:ind w:right="14"/>
        <w:jc w:val="both"/>
        <w:rPr>
          <w:rFonts w:cs="Times New Roman"/>
          <w:b w:val="0"/>
          <w:spacing w:val="-1"/>
          <w:szCs w:val="24"/>
        </w:rPr>
      </w:pPr>
      <w:r w:rsidRPr="00924659">
        <w:rPr>
          <w:b w:val="0"/>
          <w:szCs w:val="24"/>
        </w:rPr>
        <w:t xml:space="preserve">Diğer </w:t>
      </w:r>
      <w:proofErr w:type="spellStart"/>
      <w:r w:rsidRPr="00924659">
        <w:rPr>
          <w:b w:val="0"/>
          <w:szCs w:val="24"/>
        </w:rPr>
        <w:t>insülin</w:t>
      </w:r>
      <w:proofErr w:type="spellEnd"/>
      <w:r w:rsidRPr="00924659">
        <w:rPr>
          <w:b w:val="0"/>
          <w:szCs w:val="24"/>
        </w:rPr>
        <w:t xml:space="preserve"> salgılatıcılar gibi </w:t>
      </w:r>
      <w:r w:rsidRPr="00924659">
        <w:rPr>
          <w:rFonts w:cs="Times New Roman"/>
          <w:b w:val="0"/>
          <w:spacing w:val="-1"/>
          <w:szCs w:val="24"/>
        </w:rPr>
        <w:t>İNGLEX</w:t>
      </w:r>
      <w:r w:rsidRPr="00924659">
        <w:rPr>
          <w:b w:val="0"/>
          <w:szCs w:val="24"/>
        </w:rPr>
        <w:t xml:space="preserve"> de hipoglisemi yapabilir.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Diyet ve egzersiz tedavisi altında olan tip 2 diyabet </w:t>
      </w:r>
      <w:r w:rsidR="00A214B7" w:rsidRPr="00924659">
        <w:rPr>
          <w:rFonts w:cs="Times New Roman"/>
          <w:b w:val="0"/>
          <w:spacing w:val="-1"/>
          <w:szCs w:val="24"/>
        </w:rPr>
        <w:t>hastaların</w:t>
      </w:r>
      <w:r w:rsidRPr="00924659">
        <w:rPr>
          <w:rFonts w:cs="Times New Roman"/>
          <w:b w:val="0"/>
          <w:spacing w:val="-1"/>
          <w:szCs w:val="24"/>
        </w:rPr>
        <w:t xml:space="preserve">da ve oral </w:t>
      </w:r>
      <w:proofErr w:type="spellStart"/>
      <w:r w:rsidRPr="00924659">
        <w:rPr>
          <w:rFonts w:cs="Times New Roman"/>
          <w:b w:val="0"/>
          <w:spacing w:val="-1"/>
          <w:szCs w:val="24"/>
        </w:rPr>
        <w:t>antidiyabetik</w:t>
      </w:r>
      <w:proofErr w:type="spellEnd"/>
      <w:r w:rsidRPr="00924659">
        <w:rPr>
          <w:rFonts w:cs="Times New Roman"/>
          <w:b w:val="0"/>
          <w:spacing w:val="-1"/>
          <w:szCs w:val="24"/>
        </w:rPr>
        <w:t xml:space="preserve"> kullananlarda hipoglisemi gelişebildiği gözlemlenmiştir (bkz. Bölüm 4.8.İstenmeyen Etkiler). </w:t>
      </w:r>
      <w:proofErr w:type="spellStart"/>
      <w:r w:rsidRPr="00924659">
        <w:rPr>
          <w:rFonts w:cs="Times New Roman"/>
          <w:b w:val="0"/>
          <w:spacing w:val="-1"/>
          <w:szCs w:val="24"/>
        </w:rPr>
        <w:t>Malnutrisyonlu</w:t>
      </w:r>
      <w:proofErr w:type="spellEnd"/>
      <w:r w:rsidRPr="00924659">
        <w:rPr>
          <w:rFonts w:cs="Times New Roman"/>
          <w:b w:val="0"/>
          <w:spacing w:val="-1"/>
          <w:szCs w:val="24"/>
        </w:rPr>
        <w:t xml:space="preserve">, ileri yaştaki hastalar ve adrenal ya da hipofiz yetmezliği ya da ciddi böbrek yetmezliği olanlar, bu tedavilerin </w:t>
      </w:r>
      <w:proofErr w:type="spellStart"/>
      <w:r w:rsidRPr="00924659">
        <w:rPr>
          <w:rFonts w:cs="Times New Roman"/>
          <w:b w:val="0"/>
          <w:spacing w:val="-1"/>
          <w:szCs w:val="24"/>
        </w:rPr>
        <w:t>hipoglisemik</w:t>
      </w:r>
      <w:proofErr w:type="spellEnd"/>
      <w:r w:rsidRPr="00924659">
        <w:rPr>
          <w:rFonts w:cs="Times New Roman"/>
          <w:b w:val="0"/>
          <w:spacing w:val="-1"/>
          <w:szCs w:val="24"/>
        </w:rPr>
        <w:t xml:space="preserve"> etkilerine karşı daha duyarlıdır. Zorlu fiziksel egzersiz veya alkol alınması, tip 2 diyabetlilerdeki hipoglisemi riskini artıran faktörlerdir.</w:t>
      </w:r>
    </w:p>
    <w:p w:rsidR="00EB30C8" w:rsidRPr="00924659" w:rsidRDefault="00EB30C8" w:rsidP="00EB30C8">
      <w:pPr>
        <w:pStyle w:val="Default"/>
        <w:jc w:val="both"/>
        <w:rPr>
          <w:color w:val="auto"/>
        </w:rPr>
      </w:pPr>
      <w:r w:rsidRPr="00924659">
        <w:rPr>
          <w:color w:val="auto"/>
        </w:rPr>
        <w:t xml:space="preserve">Başlangıç HbA1c değeri </w:t>
      </w:r>
      <w:proofErr w:type="spellStart"/>
      <w:r w:rsidRPr="00924659">
        <w:rPr>
          <w:color w:val="auto"/>
        </w:rPr>
        <w:t>terapötik</w:t>
      </w:r>
      <w:proofErr w:type="spellEnd"/>
      <w:r w:rsidRPr="00924659">
        <w:rPr>
          <w:color w:val="auto"/>
        </w:rPr>
        <w:t xml:space="preserve"> düzeylere yakın olan hastalarda (HbA1c &lt; %7.5) hipoglisemi semptomları (kan </w:t>
      </w:r>
      <w:proofErr w:type="spellStart"/>
      <w:r w:rsidRPr="00924659">
        <w:rPr>
          <w:color w:val="auto"/>
        </w:rPr>
        <w:t>glukoz</w:t>
      </w:r>
      <w:proofErr w:type="spellEnd"/>
      <w:r w:rsidRPr="00924659">
        <w:rPr>
          <w:color w:val="auto"/>
        </w:rPr>
        <w:t xml:space="preserve"> düzeyleri ile doğrulanmamıştır) gözlenmiştir. </w:t>
      </w:r>
    </w:p>
    <w:p w:rsidR="00EB30C8" w:rsidRPr="00924659" w:rsidRDefault="00EB30C8" w:rsidP="00EB30C8">
      <w:pPr>
        <w:shd w:val="clear" w:color="auto" w:fill="FFFFFF"/>
        <w:spacing w:line="276" w:lineRule="auto"/>
        <w:ind w:right="14"/>
        <w:jc w:val="both"/>
        <w:rPr>
          <w:rFonts w:cs="Times New Roman"/>
          <w:b w:val="0"/>
          <w:spacing w:val="-1"/>
          <w:szCs w:val="24"/>
        </w:rPr>
      </w:pPr>
      <w:proofErr w:type="spellStart"/>
      <w:r w:rsidRPr="00924659">
        <w:rPr>
          <w:b w:val="0"/>
          <w:szCs w:val="24"/>
        </w:rPr>
        <w:t>Metforminle</w:t>
      </w:r>
      <w:proofErr w:type="spellEnd"/>
      <w:r w:rsidRPr="00924659">
        <w:rPr>
          <w:b w:val="0"/>
          <w:szCs w:val="24"/>
        </w:rPr>
        <w:t xml:space="preserve"> kombinasyon, </w:t>
      </w:r>
      <w:proofErr w:type="spellStart"/>
      <w:r w:rsidRPr="00924659">
        <w:rPr>
          <w:b w:val="0"/>
          <w:szCs w:val="24"/>
        </w:rPr>
        <w:t>monoterapi</w:t>
      </w:r>
      <w:proofErr w:type="spellEnd"/>
      <w:r w:rsidRPr="00924659">
        <w:rPr>
          <w:b w:val="0"/>
          <w:szCs w:val="24"/>
        </w:rPr>
        <w:t xml:space="preserve"> ile karşılaştırıldığında artmış hipoglisemi riski ile ilişkilendirilmiştir.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Diğer oral </w:t>
      </w:r>
      <w:proofErr w:type="spellStart"/>
      <w:r w:rsidRPr="00924659">
        <w:rPr>
          <w:rFonts w:cs="Times New Roman"/>
          <w:b w:val="0"/>
          <w:spacing w:val="-1"/>
          <w:szCs w:val="24"/>
        </w:rPr>
        <w:t>antidiyabetiklerle</w:t>
      </w:r>
      <w:proofErr w:type="spellEnd"/>
      <w:r w:rsidRPr="00924659">
        <w:rPr>
          <w:rFonts w:cs="Times New Roman"/>
          <w:b w:val="0"/>
          <w:spacing w:val="-1"/>
          <w:szCs w:val="24"/>
        </w:rPr>
        <w:t xml:space="preserve"> birlikte kullanılması, hipoglisemi riskini artırabilir.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Beta-</w:t>
      </w:r>
      <w:proofErr w:type="spellStart"/>
      <w:r w:rsidRPr="00924659">
        <w:rPr>
          <w:rFonts w:cs="Times New Roman"/>
          <w:b w:val="0"/>
          <w:spacing w:val="-1"/>
          <w:szCs w:val="24"/>
        </w:rPr>
        <w:t>blokör</w:t>
      </w:r>
      <w:proofErr w:type="spellEnd"/>
      <w:r w:rsidRPr="00924659">
        <w:rPr>
          <w:rFonts w:cs="Times New Roman"/>
          <w:b w:val="0"/>
          <w:spacing w:val="-1"/>
          <w:szCs w:val="24"/>
        </w:rPr>
        <w:t xml:space="preserve"> kullanan hastalarda hipoglisemi geliştiğinin fark</w:t>
      </w:r>
      <w:r w:rsidR="00AB6649" w:rsidRPr="00924659">
        <w:rPr>
          <w:rFonts w:cs="Times New Roman"/>
          <w:b w:val="0"/>
          <w:spacing w:val="-1"/>
          <w:szCs w:val="24"/>
        </w:rPr>
        <w:t xml:space="preserve"> </w:t>
      </w:r>
      <w:r w:rsidRPr="00924659">
        <w:rPr>
          <w:rFonts w:cs="Times New Roman"/>
          <w:b w:val="0"/>
          <w:spacing w:val="-1"/>
          <w:szCs w:val="24"/>
        </w:rPr>
        <w:t>edilmesi, zor olabilir.</w:t>
      </w:r>
    </w:p>
    <w:p w:rsidR="00EB30C8" w:rsidRPr="00924659" w:rsidRDefault="00EB30C8" w:rsidP="00D7334B">
      <w:pPr>
        <w:shd w:val="clear" w:color="auto" w:fill="FFFFFF"/>
        <w:spacing w:line="276" w:lineRule="auto"/>
        <w:ind w:right="14"/>
        <w:jc w:val="both"/>
        <w:rPr>
          <w:b w:val="0"/>
          <w:szCs w:val="24"/>
        </w:rPr>
      </w:pPr>
      <w:r w:rsidRPr="00924659">
        <w:rPr>
          <w:b w:val="0"/>
          <w:szCs w:val="24"/>
        </w:rPr>
        <w:t xml:space="preserve">Herhangi bir oral anti-diyabetik ilaç ile stabilize olan bir hasta ateş, travma, enfeksiyon veya cerrahi girişim gibi bir strese maruz kaldığında </w:t>
      </w:r>
      <w:proofErr w:type="spellStart"/>
      <w:r w:rsidRPr="00924659">
        <w:rPr>
          <w:b w:val="0"/>
          <w:szCs w:val="24"/>
        </w:rPr>
        <w:t>glisemik</w:t>
      </w:r>
      <w:proofErr w:type="spellEnd"/>
      <w:r w:rsidRPr="00924659">
        <w:rPr>
          <w:b w:val="0"/>
          <w:szCs w:val="24"/>
        </w:rPr>
        <w:t xml:space="preserve"> kontrolde kayıp yaşanabilir. Bu gibi zamanlarda oral anti-diyabetik tedavinin durdurulması ve bu tedavinin geçici olarak </w:t>
      </w:r>
      <w:proofErr w:type="spellStart"/>
      <w:r w:rsidRPr="00924659">
        <w:rPr>
          <w:b w:val="0"/>
          <w:szCs w:val="24"/>
        </w:rPr>
        <w:t>insülin</w:t>
      </w:r>
      <w:proofErr w:type="spellEnd"/>
      <w:r w:rsidRPr="00924659">
        <w:rPr>
          <w:b w:val="0"/>
          <w:szCs w:val="24"/>
        </w:rPr>
        <w:t xml:space="preserve"> ile değiştirilmesi gerekebilir.</w:t>
      </w:r>
    </w:p>
    <w:p w:rsidR="00EB30C8" w:rsidRPr="00924659" w:rsidRDefault="00EB30C8" w:rsidP="00D7334B">
      <w:pPr>
        <w:shd w:val="clear" w:color="auto" w:fill="FFFFFF"/>
        <w:spacing w:line="276" w:lineRule="auto"/>
        <w:ind w:right="14"/>
        <w:jc w:val="both"/>
        <w:rPr>
          <w:b w:val="0"/>
          <w:szCs w:val="24"/>
        </w:rPr>
      </w:pPr>
      <w:proofErr w:type="spellStart"/>
      <w:r w:rsidRPr="00924659">
        <w:rPr>
          <w:b w:val="0"/>
          <w:szCs w:val="24"/>
        </w:rPr>
        <w:t>Nateglinid</w:t>
      </w:r>
      <w:proofErr w:type="spellEnd"/>
      <w:r w:rsidRPr="00924659">
        <w:rPr>
          <w:b w:val="0"/>
          <w:szCs w:val="24"/>
        </w:rPr>
        <w:t>, orta düzeyde karaciğer yetmezliği olan hastalarda dikkatli kullanılmalıdır.</w:t>
      </w:r>
    </w:p>
    <w:p w:rsidR="00EB30C8" w:rsidRPr="00924659" w:rsidRDefault="00EB30C8" w:rsidP="00D7334B">
      <w:pPr>
        <w:shd w:val="clear" w:color="auto" w:fill="FFFFFF"/>
        <w:spacing w:line="276" w:lineRule="auto"/>
        <w:ind w:right="14"/>
        <w:jc w:val="both"/>
        <w:rPr>
          <w:rFonts w:cs="Times New Roman"/>
          <w:b w:val="0"/>
          <w:spacing w:val="-1"/>
          <w:szCs w:val="24"/>
        </w:rPr>
      </w:pPr>
      <w:r w:rsidRPr="00924659">
        <w:rPr>
          <w:b w:val="0"/>
          <w:szCs w:val="24"/>
        </w:rPr>
        <w:t>Şiddetli karaciğer yetmezliği olanlarda ya da çocuklar ve ergenlerde klinik çalışmalar gerçekleştirilmemiştir. Dolayısıyla bu hasta gruplarında kullanılması önerilmemektedir.</w:t>
      </w:r>
    </w:p>
    <w:p w:rsidR="00405D0D" w:rsidRPr="00924659" w:rsidRDefault="00405D0D" w:rsidP="00D7334B">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Tabletler, laktoz içerir. Nadir kalıtımsal </w:t>
      </w:r>
      <w:proofErr w:type="spellStart"/>
      <w:r w:rsidRPr="00924659">
        <w:rPr>
          <w:rFonts w:cs="Times New Roman"/>
          <w:b w:val="0"/>
          <w:spacing w:val="-1"/>
          <w:szCs w:val="24"/>
        </w:rPr>
        <w:t>galaktoz</w:t>
      </w:r>
      <w:proofErr w:type="spellEnd"/>
      <w:r w:rsidRPr="00924659">
        <w:rPr>
          <w:rFonts w:cs="Times New Roman"/>
          <w:b w:val="0"/>
          <w:spacing w:val="-1"/>
          <w:szCs w:val="24"/>
        </w:rPr>
        <w:t xml:space="preserve"> </w:t>
      </w:r>
      <w:proofErr w:type="spellStart"/>
      <w:r w:rsidRPr="00924659">
        <w:rPr>
          <w:rFonts w:cs="Times New Roman"/>
          <w:b w:val="0"/>
          <w:spacing w:val="-1"/>
          <w:szCs w:val="24"/>
        </w:rPr>
        <w:t>intoleransı</w:t>
      </w:r>
      <w:proofErr w:type="spellEnd"/>
      <w:r w:rsidRPr="00924659">
        <w:rPr>
          <w:rFonts w:cs="Times New Roman"/>
          <w:b w:val="0"/>
          <w:spacing w:val="-1"/>
          <w:szCs w:val="24"/>
        </w:rPr>
        <w:t xml:space="preserve">, </w:t>
      </w:r>
      <w:proofErr w:type="spellStart"/>
      <w:r w:rsidRPr="00924659">
        <w:rPr>
          <w:rFonts w:cs="Times New Roman"/>
          <w:b w:val="0"/>
          <w:spacing w:val="-1"/>
          <w:szCs w:val="24"/>
        </w:rPr>
        <w:t>Lapp</w:t>
      </w:r>
      <w:proofErr w:type="spellEnd"/>
      <w:r w:rsidRPr="00924659">
        <w:rPr>
          <w:rFonts w:cs="Times New Roman"/>
          <w:b w:val="0"/>
          <w:spacing w:val="-1"/>
          <w:szCs w:val="24"/>
        </w:rPr>
        <w:t xml:space="preserve"> laktoz yetmezliği ya da glikoz-</w:t>
      </w:r>
      <w:proofErr w:type="spellStart"/>
      <w:r w:rsidRPr="00924659">
        <w:rPr>
          <w:rFonts w:cs="Times New Roman"/>
          <w:b w:val="0"/>
          <w:spacing w:val="-1"/>
          <w:szCs w:val="24"/>
        </w:rPr>
        <w:t>galaktoz</w:t>
      </w:r>
      <w:proofErr w:type="spellEnd"/>
      <w:r w:rsidRPr="00924659">
        <w:rPr>
          <w:rFonts w:cs="Times New Roman"/>
          <w:b w:val="0"/>
          <w:spacing w:val="-1"/>
          <w:szCs w:val="24"/>
        </w:rPr>
        <w:t xml:space="preserve"> </w:t>
      </w:r>
      <w:proofErr w:type="spellStart"/>
      <w:r w:rsidRPr="00924659">
        <w:rPr>
          <w:rFonts w:cs="Times New Roman"/>
          <w:b w:val="0"/>
          <w:spacing w:val="-1"/>
          <w:szCs w:val="24"/>
        </w:rPr>
        <w:t>malabsorpsiyon</w:t>
      </w:r>
      <w:proofErr w:type="spellEnd"/>
      <w:r w:rsidRPr="00924659">
        <w:rPr>
          <w:rFonts w:cs="Times New Roman"/>
          <w:b w:val="0"/>
          <w:spacing w:val="-1"/>
          <w:szCs w:val="24"/>
        </w:rPr>
        <w:t xml:space="preserve"> problemi olan hastala</w:t>
      </w:r>
      <w:r w:rsidR="00A214B7" w:rsidRPr="00924659">
        <w:rPr>
          <w:rFonts w:cs="Times New Roman"/>
          <w:b w:val="0"/>
          <w:spacing w:val="-1"/>
          <w:szCs w:val="24"/>
        </w:rPr>
        <w:t>rın</w:t>
      </w:r>
      <w:r w:rsidRPr="00924659">
        <w:rPr>
          <w:rFonts w:cs="Times New Roman"/>
          <w:b w:val="0"/>
          <w:spacing w:val="-1"/>
          <w:szCs w:val="24"/>
        </w:rPr>
        <w:t xml:space="preserve"> bu ilacı kullanmamala</w:t>
      </w:r>
      <w:r w:rsidR="00A214B7" w:rsidRPr="00924659">
        <w:rPr>
          <w:rFonts w:cs="Times New Roman"/>
          <w:b w:val="0"/>
          <w:spacing w:val="-1"/>
          <w:szCs w:val="24"/>
        </w:rPr>
        <w:t>rı</w:t>
      </w:r>
      <w:r w:rsidRPr="00924659">
        <w:rPr>
          <w:rFonts w:cs="Times New Roman"/>
          <w:b w:val="0"/>
          <w:spacing w:val="-1"/>
          <w:szCs w:val="24"/>
        </w:rPr>
        <w:t xml:space="preserve"> gerekir.</w:t>
      </w:r>
    </w:p>
    <w:p w:rsidR="00E27196" w:rsidRPr="00924659" w:rsidRDefault="00E27196" w:rsidP="00D7334B">
      <w:pPr>
        <w:spacing w:line="276" w:lineRule="auto"/>
        <w:jc w:val="both"/>
        <w:rPr>
          <w:b w:val="0"/>
        </w:rPr>
      </w:pPr>
      <w:r w:rsidRPr="00924659">
        <w:rPr>
          <w:b w:val="0"/>
        </w:rPr>
        <w:t xml:space="preserve">Bu tıbbi ürün her dozunda 1 </w:t>
      </w:r>
      <w:proofErr w:type="spellStart"/>
      <w:r w:rsidRPr="00924659">
        <w:rPr>
          <w:b w:val="0"/>
        </w:rPr>
        <w:t>mmol</w:t>
      </w:r>
      <w:proofErr w:type="spellEnd"/>
      <w:r w:rsidRPr="00924659">
        <w:rPr>
          <w:b w:val="0"/>
        </w:rPr>
        <w:t xml:space="preserve"> (23 mg)'dan daha az sodyum ihtiva eder; bu dozda sodyuma bağlı herhangi bir yan etki beklenmemektedir.</w:t>
      </w:r>
    </w:p>
    <w:p w:rsidR="00273627" w:rsidRPr="00924659" w:rsidRDefault="00305684" w:rsidP="00305684">
      <w:pPr>
        <w:shd w:val="clear" w:color="auto" w:fill="FFFFFF"/>
        <w:spacing w:line="276" w:lineRule="auto"/>
        <w:ind w:right="14"/>
        <w:jc w:val="both"/>
        <w:rPr>
          <w:rFonts w:cs="Times New Roman"/>
          <w:b w:val="0"/>
          <w:spacing w:val="-1"/>
          <w:szCs w:val="24"/>
        </w:rPr>
      </w:pPr>
      <w:r w:rsidRPr="00924659">
        <w:rPr>
          <w:rFonts w:cs="Times New Roman"/>
          <w:b w:val="0"/>
          <w:spacing w:val="-1"/>
          <w:szCs w:val="24"/>
        </w:rPr>
        <w:t>İNGLEX soya yağı ihtiva eder. Eğer fıstık ya da soyaya alerjiniz varsa bu tıbbi ürünü kullanmayınız.</w:t>
      </w:r>
    </w:p>
    <w:p w:rsidR="00305684" w:rsidRPr="00924659" w:rsidRDefault="00305684" w:rsidP="00305684">
      <w:pPr>
        <w:shd w:val="clear" w:color="auto" w:fill="FFFFFF"/>
        <w:spacing w:line="276" w:lineRule="auto"/>
        <w:ind w:right="14"/>
        <w:jc w:val="both"/>
        <w:rPr>
          <w:rFonts w:cs="Times New Roman"/>
          <w:b w:val="0"/>
          <w:spacing w:val="-1"/>
          <w:szCs w:val="24"/>
        </w:rPr>
      </w:pPr>
    </w:p>
    <w:p w:rsidR="00405D0D" w:rsidRPr="00924659" w:rsidRDefault="00405D0D" w:rsidP="00D7334B">
      <w:pPr>
        <w:shd w:val="clear" w:color="auto" w:fill="FFFFFF"/>
        <w:tabs>
          <w:tab w:val="left" w:pos="494"/>
        </w:tabs>
        <w:spacing w:line="276" w:lineRule="auto"/>
        <w:jc w:val="both"/>
        <w:rPr>
          <w:rFonts w:cs="Times New Roman"/>
          <w:spacing w:val="-1"/>
          <w:szCs w:val="24"/>
        </w:rPr>
      </w:pPr>
      <w:r w:rsidRPr="00924659">
        <w:rPr>
          <w:rFonts w:cs="Times New Roman"/>
          <w:spacing w:val="-1"/>
          <w:szCs w:val="24"/>
        </w:rPr>
        <w:t>4.5.</w:t>
      </w:r>
      <w:r w:rsidRPr="00924659">
        <w:rPr>
          <w:rFonts w:cs="Times New Roman"/>
          <w:spacing w:val="-1"/>
          <w:szCs w:val="24"/>
        </w:rPr>
        <w:tab/>
        <w:t>Diğer tıbbi ürünler ile etkileşimler ve diğer etkileşim şekilleri</w:t>
      </w:r>
    </w:p>
    <w:p w:rsidR="00405D0D" w:rsidRPr="00924659" w:rsidRDefault="00EB30C8" w:rsidP="00D7334B">
      <w:pPr>
        <w:shd w:val="clear" w:color="auto" w:fill="FFFFFF"/>
        <w:spacing w:line="276" w:lineRule="auto"/>
        <w:ind w:right="14"/>
        <w:jc w:val="both"/>
        <w:rPr>
          <w:rFonts w:cs="Times New Roman"/>
          <w:b w:val="0"/>
          <w:spacing w:val="-1"/>
          <w:szCs w:val="24"/>
        </w:rPr>
      </w:pPr>
      <w:r w:rsidRPr="00924659">
        <w:rPr>
          <w:rFonts w:cs="Times New Roman"/>
          <w:b w:val="0"/>
          <w:i/>
          <w:spacing w:val="-1"/>
          <w:szCs w:val="24"/>
        </w:rPr>
        <w:t>İ</w:t>
      </w:r>
      <w:r w:rsidR="00405D0D" w:rsidRPr="00924659">
        <w:rPr>
          <w:rFonts w:cs="Times New Roman"/>
          <w:b w:val="0"/>
          <w:i/>
          <w:spacing w:val="-1"/>
          <w:szCs w:val="24"/>
        </w:rPr>
        <w:t xml:space="preserve">n </w:t>
      </w:r>
      <w:proofErr w:type="spellStart"/>
      <w:r w:rsidR="00405D0D" w:rsidRPr="00924659">
        <w:rPr>
          <w:rFonts w:cs="Times New Roman"/>
          <w:b w:val="0"/>
          <w:i/>
          <w:spacing w:val="-1"/>
          <w:szCs w:val="24"/>
        </w:rPr>
        <w:t>vitro</w:t>
      </w:r>
      <w:proofErr w:type="spellEnd"/>
      <w:r w:rsidR="00405D0D" w:rsidRPr="00924659">
        <w:rPr>
          <w:rFonts w:cs="Times New Roman"/>
          <w:b w:val="0"/>
          <w:spacing w:val="-1"/>
          <w:szCs w:val="24"/>
        </w:rPr>
        <w:t xml:space="preserve"> ve </w:t>
      </w:r>
      <w:r w:rsidR="00405D0D" w:rsidRPr="00924659">
        <w:rPr>
          <w:rFonts w:cs="Times New Roman"/>
          <w:b w:val="0"/>
          <w:i/>
          <w:spacing w:val="-1"/>
          <w:szCs w:val="24"/>
        </w:rPr>
        <w:t xml:space="preserve">in </w:t>
      </w:r>
      <w:proofErr w:type="spellStart"/>
      <w:r w:rsidR="00405D0D" w:rsidRPr="00924659">
        <w:rPr>
          <w:rFonts w:cs="Times New Roman"/>
          <w:b w:val="0"/>
          <w:i/>
          <w:spacing w:val="-1"/>
          <w:szCs w:val="24"/>
        </w:rPr>
        <w:t>vivo</w:t>
      </w:r>
      <w:proofErr w:type="spellEnd"/>
      <w:r w:rsidR="00405D0D" w:rsidRPr="00924659">
        <w:rPr>
          <w:rFonts w:cs="Times New Roman"/>
          <w:b w:val="0"/>
          <w:spacing w:val="-1"/>
          <w:szCs w:val="24"/>
        </w:rPr>
        <w:t xml:space="preserve"> çalışmalar </w:t>
      </w:r>
      <w:proofErr w:type="spellStart"/>
      <w:r w:rsidR="00405D0D" w:rsidRPr="00924659">
        <w:rPr>
          <w:rFonts w:cs="Times New Roman"/>
          <w:b w:val="0"/>
          <w:spacing w:val="-1"/>
          <w:szCs w:val="24"/>
        </w:rPr>
        <w:t>nateglinidin</w:t>
      </w:r>
      <w:proofErr w:type="spellEnd"/>
      <w:r w:rsidR="00405D0D" w:rsidRPr="00924659">
        <w:rPr>
          <w:rFonts w:cs="Times New Roman"/>
          <w:b w:val="0"/>
          <w:spacing w:val="-1"/>
          <w:szCs w:val="24"/>
        </w:rPr>
        <w:t xml:space="preserve"> öncelikle, bir </w:t>
      </w:r>
      <w:proofErr w:type="spellStart"/>
      <w:r w:rsidR="00405D0D" w:rsidRPr="00924659">
        <w:rPr>
          <w:rFonts w:cs="Times New Roman"/>
          <w:b w:val="0"/>
          <w:spacing w:val="-1"/>
          <w:szCs w:val="24"/>
        </w:rPr>
        <w:t>sitokrom</w:t>
      </w:r>
      <w:proofErr w:type="spellEnd"/>
      <w:r w:rsidR="00405D0D" w:rsidRPr="00924659">
        <w:rPr>
          <w:rFonts w:cs="Times New Roman"/>
          <w:b w:val="0"/>
          <w:spacing w:val="-1"/>
          <w:szCs w:val="24"/>
        </w:rPr>
        <w:t xml:space="preserve"> P450 enzimi olan CYP 2C9 (%70) ve daha az olarak da CYP 3A4 (%30) tarafından </w:t>
      </w:r>
      <w:proofErr w:type="spellStart"/>
      <w:r w:rsidR="00405D0D" w:rsidRPr="00924659">
        <w:rPr>
          <w:rFonts w:cs="Times New Roman"/>
          <w:b w:val="0"/>
          <w:spacing w:val="-1"/>
          <w:szCs w:val="24"/>
        </w:rPr>
        <w:t>metabolize</w:t>
      </w:r>
      <w:proofErr w:type="spellEnd"/>
      <w:r w:rsidR="00405D0D" w:rsidRPr="00924659">
        <w:rPr>
          <w:rFonts w:cs="Times New Roman"/>
          <w:b w:val="0"/>
          <w:spacing w:val="-1"/>
          <w:szCs w:val="24"/>
        </w:rPr>
        <w:t xml:space="preserve"> edildiğini göstermiştir. </w:t>
      </w:r>
      <w:proofErr w:type="spellStart"/>
      <w:r w:rsidR="00405D0D" w:rsidRPr="00924659">
        <w:rPr>
          <w:rFonts w:cs="Times New Roman"/>
          <w:b w:val="0"/>
          <w:spacing w:val="-1"/>
          <w:szCs w:val="24"/>
        </w:rPr>
        <w:t>Nateglinid</w:t>
      </w:r>
      <w:proofErr w:type="spellEnd"/>
      <w:r w:rsidR="00405D0D" w:rsidRPr="00924659">
        <w:rPr>
          <w:rFonts w:cs="Times New Roman"/>
          <w:b w:val="0"/>
          <w:spacing w:val="-1"/>
          <w:szCs w:val="24"/>
        </w:rPr>
        <w:t xml:space="preserve"> </w:t>
      </w:r>
      <w:proofErr w:type="spellStart"/>
      <w:r w:rsidR="00405D0D" w:rsidRPr="00924659">
        <w:rPr>
          <w:rFonts w:cs="Times New Roman"/>
          <w:b w:val="0"/>
          <w:spacing w:val="-1"/>
          <w:szCs w:val="24"/>
        </w:rPr>
        <w:t>tolbutamidin</w:t>
      </w:r>
      <w:proofErr w:type="spellEnd"/>
      <w:r w:rsidR="00405D0D" w:rsidRPr="00924659">
        <w:rPr>
          <w:rFonts w:cs="Times New Roman"/>
          <w:b w:val="0"/>
          <w:spacing w:val="-1"/>
          <w:szCs w:val="24"/>
        </w:rPr>
        <w:t xml:space="preserve"> </w:t>
      </w:r>
      <w:r w:rsidR="00405D0D" w:rsidRPr="00924659">
        <w:rPr>
          <w:rFonts w:cs="Times New Roman"/>
          <w:b w:val="0"/>
          <w:i/>
          <w:spacing w:val="-1"/>
          <w:szCs w:val="24"/>
        </w:rPr>
        <w:t xml:space="preserve">in </w:t>
      </w:r>
      <w:proofErr w:type="spellStart"/>
      <w:r w:rsidR="00405D0D" w:rsidRPr="00924659">
        <w:rPr>
          <w:rFonts w:cs="Times New Roman"/>
          <w:b w:val="0"/>
          <w:i/>
          <w:spacing w:val="-1"/>
          <w:szCs w:val="24"/>
        </w:rPr>
        <w:t>vitro</w:t>
      </w:r>
      <w:proofErr w:type="spellEnd"/>
      <w:r w:rsidR="00405D0D" w:rsidRPr="00924659">
        <w:rPr>
          <w:rFonts w:cs="Times New Roman"/>
          <w:b w:val="0"/>
          <w:spacing w:val="-1"/>
          <w:szCs w:val="24"/>
        </w:rPr>
        <w:t xml:space="preserve"> metabolizmasını </w:t>
      </w:r>
      <w:proofErr w:type="spellStart"/>
      <w:r w:rsidR="00405D0D" w:rsidRPr="00924659">
        <w:rPr>
          <w:rFonts w:cs="Times New Roman"/>
          <w:b w:val="0"/>
          <w:spacing w:val="-1"/>
          <w:szCs w:val="24"/>
        </w:rPr>
        <w:t>inhibe</w:t>
      </w:r>
      <w:proofErr w:type="spellEnd"/>
      <w:r w:rsidR="00405D0D" w:rsidRPr="00924659">
        <w:rPr>
          <w:rFonts w:cs="Times New Roman"/>
          <w:b w:val="0"/>
          <w:spacing w:val="-1"/>
          <w:szCs w:val="24"/>
        </w:rPr>
        <w:t xml:space="preserve"> etme yeteneğine sahiptir</w:t>
      </w:r>
      <w:r w:rsidRPr="00924659">
        <w:rPr>
          <w:rFonts w:cs="Times New Roman"/>
          <w:b w:val="0"/>
          <w:spacing w:val="-1"/>
          <w:szCs w:val="24"/>
        </w:rPr>
        <w:t xml:space="preserve">. </w:t>
      </w:r>
      <w:r w:rsidRPr="00924659">
        <w:rPr>
          <w:rFonts w:cs="Times New Roman"/>
          <w:b w:val="0"/>
          <w:i/>
          <w:spacing w:val="-1"/>
          <w:szCs w:val="24"/>
        </w:rPr>
        <w:t>İ</w:t>
      </w:r>
      <w:r w:rsidR="00405D0D" w:rsidRPr="00924659">
        <w:rPr>
          <w:rFonts w:cs="Times New Roman"/>
          <w:b w:val="0"/>
          <w:i/>
          <w:spacing w:val="-1"/>
          <w:szCs w:val="24"/>
        </w:rPr>
        <w:t xml:space="preserve">n </w:t>
      </w:r>
      <w:proofErr w:type="spellStart"/>
      <w:r w:rsidR="00405D0D" w:rsidRPr="00924659">
        <w:rPr>
          <w:rFonts w:cs="Times New Roman"/>
          <w:b w:val="0"/>
          <w:i/>
          <w:spacing w:val="-1"/>
          <w:szCs w:val="24"/>
        </w:rPr>
        <w:t>vitro</w:t>
      </w:r>
      <w:proofErr w:type="spellEnd"/>
      <w:r w:rsidR="00405D0D" w:rsidRPr="00924659">
        <w:rPr>
          <w:rFonts w:cs="Times New Roman"/>
          <w:b w:val="0"/>
          <w:spacing w:val="-1"/>
          <w:szCs w:val="24"/>
        </w:rPr>
        <w:t xml:space="preserve"> </w:t>
      </w:r>
      <w:r w:rsidR="00A214B7" w:rsidRPr="00924659">
        <w:rPr>
          <w:rFonts w:cs="Times New Roman"/>
          <w:b w:val="0"/>
          <w:spacing w:val="-1"/>
          <w:szCs w:val="24"/>
        </w:rPr>
        <w:t>deney sonuçları</w:t>
      </w:r>
      <w:r w:rsidR="00405D0D" w:rsidRPr="00924659">
        <w:rPr>
          <w:rFonts w:cs="Times New Roman"/>
          <w:b w:val="0"/>
          <w:spacing w:val="-1"/>
          <w:szCs w:val="24"/>
        </w:rPr>
        <w:t>na bakıldığında, CYP 3A4'ün aracıl</w:t>
      </w:r>
      <w:r w:rsidR="00A214B7" w:rsidRPr="00924659">
        <w:rPr>
          <w:rFonts w:cs="Times New Roman"/>
          <w:b w:val="0"/>
          <w:spacing w:val="-1"/>
          <w:szCs w:val="24"/>
        </w:rPr>
        <w:t xml:space="preserve">ık ettiği </w:t>
      </w:r>
      <w:proofErr w:type="spellStart"/>
      <w:r w:rsidR="00A214B7" w:rsidRPr="00924659">
        <w:rPr>
          <w:rFonts w:cs="Times New Roman"/>
          <w:b w:val="0"/>
          <w:spacing w:val="-1"/>
          <w:szCs w:val="24"/>
        </w:rPr>
        <w:t>metabolik</w:t>
      </w:r>
      <w:proofErr w:type="spellEnd"/>
      <w:r w:rsidR="00A214B7" w:rsidRPr="00924659">
        <w:rPr>
          <w:rFonts w:cs="Times New Roman"/>
          <w:b w:val="0"/>
          <w:spacing w:val="-1"/>
          <w:szCs w:val="24"/>
        </w:rPr>
        <w:t xml:space="preserve"> reaksiyonları</w:t>
      </w:r>
      <w:r w:rsidR="00405D0D" w:rsidRPr="00924659">
        <w:rPr>
          <w:rFonts w:cs="Times New Roman"/>
          <w:b w:val="0"/>
          <w:spacing w:val="-1"/>
          <w:szCs w:val="24"/>
        </w:rPr>
        <w:t xml:space="preserve">n </w:t>
      </w:r>
      <w:proofErr w:type="spellStart"/>
      <w:r w:rsidR="00405D0D" w:rsidRPr="00924659">
        <w:rPr>
          <w:rFonts w:cs="Times New Roman"/>
          <w:b w:val="0"/>
          <w:spacing w:val="-1"/>
          <w:szCs w:val="24"/>
        </w:rPr>
        <w:t>inhibisyonu</w:t>
      </w:r>
      <w:proofErr w:type="spellEnd"/>
      <w:r w:rsidR="00405D0D" w:rsidRPr="00924659">
        <w:rPr>
          <w:rFonts w:cs="Times New Roman"/>
          <w:b w:val="0"/>
          <w:spacing w:val="-1"/>
          <w:szCs w:val="24"/>
        </w:rPr>
        <w:t xml:space="preserve"> beklenmez. Bir bütün olarak bütün bu bulgular, klinikte önem taşıyan </w:t>
      </w:r>
      <w:proofErr w:type="spellStart"/>
      <w:r w:rsidR="00405D0D" w:rsidRPr="00924659">
        <w:rPr>
          <w:rFonts w:cs="Times New Roman"/>
          <w:b w:val="0"/>
          <w:spacing w:val="-1"/>
          <w:szCs w:val="24"/>
        </w:rPr>
        <w:t>farmakokinetik</w:t>
      </w:r>
      <w:proofErr w:type="spellEnd"/>
      <w:r w:rsidR="00405D0D" w:rsidRPr="00924659">
        <w:rPr>
          <w:rFonts w:cs="Times New Roman"/>
          <w:b w:val="0"/>
          <w:spacing w:val="-1"/>
          <w:szCs w:val="24"/>
        </w:rPr>
        <w:t xml:space="preserve"> ilaç etkileşim potansiyelinin düşük olduğu izlenimini vermektedir.</w:t>
      </w:r>
    </w:p>
    <w:p w:rsidR="00273627" w:rsidRPr="00924659" w:rsidRDefault="00273627" w:rsidP="00EB30C8">
      <w:pPr>
        <w:shd w:val="clear" w:color="auto" w:fill="FFFFFF"/>
        <w:spacing w:line="276" w:lineRule="auto"/>
        <w:ind w:right="14"/>
        <w:jc w:val="both"/>
        <w:rPr>
          <w:rFonts w:cs="Times New Roman"/>
          <w:b w:val="0"/>
          <w:spacing w:val="-1"/>
          <w:szCs w:val="24"/>
        </w:rPr>
      </w:pPr>
    </w:p>
    <w:p w:rsidR="00405D0D" w:rsidRPr="00924659" w:rsidRDefault="00405D0D"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Nateglinid</w:t>
      </w:r>
      <w:proofErr w:type="spellEnd"/>
      <w:r w:rsidRPr="00924659">
        <w:rPr>
          <w:rFonts w:cs="Times New Roman"/>
          <w:b w:val="0"/>
          <w:spacing w:val="-1"/>
          <w:szCs w:val="24"/>
        </w:rPr>
        <w:t xml:space="preserve">; bir CYP 3A4 ve CYP 2C9 </w:t>
      </w:r>
      <w:proofErr w:type="spellStart"/>
      <w:r w:rsidRPr="00924659">
        <w:rPr>
          <w:rFonts w:cs="Times New Roman"/>
          <w:b w:val="0"/>
          <w:spacing w:val="-1"/>
          <w:szCs w:val="24"/>
        </w:rPr>
        <w:t>sub</w:t>
      </w:r>
      <w:r w:rsidR="00E650A0" w:rsidRPr="00924659">
        <w:rPr>
          <w:rFonts w:cs="Times New Roman"/>
          <w:b w:val="0"/>
          <w:spacing w:val="-1"/>
          <w:szCs w:val="24"/>
        </w:rPr>
        <w:t>s</w:t>
      </w:r>
      <w:r w:rsidRPr="00924659">
        <w:rPr>
          <w:rFonts w:cs="Times New Roman"/>
          <w:b w:val="0"/>
          <w:spacing w:val="-1"/>
          <w:szCs w:val="24"/>
        </w:rPr>
        <w:t>tratı</w:t>
      </w:r>
      <w:proofErr w:type="spellEnd"/>
      <w:r w:rsidRPr="00924659">
        <w:rPr>
          <w:rFonts w:cs="Times New Roman"/>
          <w:b w:val="0"/>
          <w:spacing w:val="-1"/>
          <w:szCs w:val="24"/>
        </w:rPr>
        <w:t xml:space="preserve"> olan </w:t>
      </w:r>
      <w:proofErr w:type="spellStart"/>
      <w:r w:rsidRPr="00924659">
        <w:rPr>
          <w:rFonts w:cs="Times New Roman"/>
          <w:b w:val="0"/>
          <w:spacing w:val="-1"/>
          <w:szCs w:val="24"/>
        </w:rPr>
        <w:t>varfarinin</w:t>
      </w:r>
      <w:proofErr w:type="spellEnd"/>
      <w:r w:rsidRPr="00924659">
        <w:rPr>
          <w:rFonts w:cs="Times New Roman"/>
          <w:b w:val="0"/>
          <w:spacing w:val="-1"/>
          <w:szCs w:val="24"/>
        </w:rPr>
        <w:t xml:space="preserve">, bir CYP 2C9 </w:t>
      </w:r>
      <w:proofErr w:type="spellStart"/>
      <w:r w:rsidRPr="00924659">
        <w:rPr>
          <w:rFonts w:cs="Times New Roman"/>
          <w:b w:val="0"/>
          <w:spacing w:val="-1"/>
          <w:szCs w:val="24"/>
        </w:rPr>
        <w:t>subtratı</w:t>
      </w:r>
      <w:proofErr w:type="spellEnd"/>
      <w:r w:rsidRPr="00924659">
        <w:rPr>
          <w:rFonts w:cs="Times New Roman"/>
          <w:b w:val="0"/>
          <w:spacing w:val="-1"/>
          <w:szCs w:val="24"/>
        </w:rPr>
        <w:t xml:space="preserve"> olan </w:t>
      </w:r>
      <w:proofErr w:type="spellStart"/>
      <w:r w:rsidRPr="00924659">
        <w:rPr>
          <w:rFonts w:cs="Times New Roman"/>
          <w:b w:val="0"/>
          <w:spacing w:val="-1"/>
          <w:szCs w:val="24"/>
        </w:rPr>
        <w:t>diklofenakın</w:t>
      </w:r>
      <w:proofErr w:type="spellEnd"/>
      <w:r w:rsidRPr="00924659">
        <w:rPr>
          <w:rFonts w:cs="Times New Roman"/>
          <w:b w:val="0"/>
          <w:spacing w:val="-1"/>
          <w:szCs w:val="24"/>
        </w:rPr>
        <w:t xml:space="preserve">, bir CYP 3A4 indükleyici olan </w:t>
      </w:r>
      <w:proofErr w:type="spellStart"/>
      <w:r w:rsidRPr="00924659">
        <w:rPr>
          <w:rFonts w:cs="Times New Roman"/>
          <w:b w:val="0"/>
          <w:spacing w:val="-1"/>
          <w:szCs w:val="24"/>
        </w:rPr>
        <w:t>troglitazonun</w:t>
      </w:r>
      <w:proofErr w:type="spellEnd"/>
      <w:r w:rsidRPr="00924659">
        <w:rPr>
          <w:rFonts w:cs="Times New Roman"/>
          <w:b w:val="0"/>
          <w:spacing w:val="-1"/>
          <w:szCs w:val="24"/>
        </w:rPr>
        <w:t xml:space="preserve"> veya </w:t>
      </w:r>
      <w:proofErr w:type="spellStart"/>
      <w:r w:rsidRPr="00924659">
        <w:rPr>
          <w:rFonts w:cs="Times New Roman"/>
          <w:b w:val="0"/>
          <w:spacing w:val="-1"/>
          <w:szCs w:val="24"/>
        </w:rPr>
        <w:t>digoksinin</w:t>
      </w:r>
      <w:proofErr w:type="spellEnd"/>
      <w:r w:rsidRPr="00924659">
        <w:rPr>
          <w:rFonts w:cs="Times New Roman"/>
          <w:b w:val="0"/>
          <w:spacing w:val="-1"/>
          <w:szCs w:val="24"/>
        </w:rPr>
        <w:t xml:space="preserve"> </w:t>
      </w:r>
      <w:proofErr w:type="spellStart"/>
      <w:r w:rsidRPr="00924659">
        <w:rPr>
          <w:rFonts w:cs="Times New Roman"/>
          <w:b w:val="0"/>
          <w:spacing w:val="-1"/>
          <w:szCs w:val="24"/>
        </w:rPr>
        <w:t>farmakokinetik</w:t>
      </w:r>
      <w:proofErr w:type="spellEnd"/>
      <w:r w:rsidRPr="00924659">
        <w:rPr>
          <w:rFonts w:cs="Times New Roman"/>
          <w:b w:val="0"/>
          <w:spacing w:val="-1"/>
          <w:szCs w:val="24"/>
        </w:rPr>
        <w:t xml:space="preserve"> özellikleri üzerinde, klinik önemi olan hiçbir etkiye sahip değildir. Bu nedenle de </w:t>
      </w:r>
      <w:proofErr w:type="spellStart"/>
      <w:r w:rsidRPr="00924659">
        <w:rPr>
          <w:rFonts w:cs="Times New Roman"/>
          <w:b w:val="0"/>
          <w:spacing w:val="-1"/>
          <w:szCs w:val="24"/>
        </w:rPr>
        <w:t>digoksin</w:t>
      </w:r>
      <w:proofErr w:type="spellEnd"/>
      <w:r w:rsidRPr="00924659">
        <w:rPr>
          <w:rFonts w:cs="Times New Roman"/>
          <w:b w:val="0"/>
          <w:spacing w:val="-1"/>
          <w:szCs w:val="24"/>
        </w:rPr>
        <w:t xml:space="preserve">, </w:t>
      </w:r>
      <w:proofErr w:type="spellStart"/>
      <w:r w:rsidRPr="00924659">
        <w:rPr>
          <w:rFonts w:cs="Times New Roman"/>
          <w:b w:val="0"/>
          <w:spacing w:val="-1"/>
          <w:szCs w:val="24"/>
        </w:rPr>
        <w:t>varfarin</w:t>
      </w:r>
      <w:proofErr w:type="spellEnd"/>
      <w:r w:rsidRPr="00924659">
        <w:rPr>
          <w:rFonts w:cs="Times New Roman"/>
          <w:b w:val="0"/>
          <w:spacing w:val="-1"/>
          <w:szCs w:val="24"/>
        </w:rPr>
        <w:t xml:space="preserve"> veya </w:t>
      </w:r>
      <w:proofErr w:type="spellStart"/>
      <w:r w:rsidRPr="00924659">
        <w:rPr>
          <w:rFonts w:cs="Times New Roman"/>
          <w:b w:val="0"/>
          <w:spacing w:val="-1"/>
          <w:szCs w:val="24"/>
        </w:rPr>
        <w:t>diklofenak</w:t>
      </w:r>
      <w:proofErr w:type="spellEnd"/>
      <w:r w:rsidRPr="00924659">
        <w:rPr>
          <w:rFonts w:cs="Times New Roman"/>
          <w:b w:val="0"/>
          <w:spacing w:val="-1"/>
          <w:szCs w:val="24"/>
        </w:rPr>
        <w:t xml:space="preserve"> </w:t>
      </w:r>
      <w:r w:rsidR="003D10D8" w:rsidRPr="00924659">
        <w:rPr>
          <w:rFonts w:cs="Times New Roman"/>
          <w:b w:val="0"/>
          <w:spacing w:val="-1"/>
          <w:szCs w:val="24"/>
        </w:rPr>
        <w:t>İNGLEX</w:t>
      </w:r>
      <w:r w:rsidRPr="00924659">
        <w:rPr>
          <w:rFonts w:cs="Times New Roman"/>
          <w:b w:val="0"/>
          <w:spacing w:val="-1"/>
          <w:szCs w:val="24"/>
        </w:rPr>
        <w:t xml:space="preserve"> ile birlikte kullanıldığı zaman, ne </w:t>
      </w:r>
      <w:proofErr w:type="spellStart"/>
      <w:r w:rsidR="003D10D8" w:rsidRPr="00924659">
        <w:rPr>
          <w:rFonts w:cs="Times New Roman"/>
          <w:b w:val="0"/>
          <w:spacing w:val="-1"/>
          <w:szCs w:val="24"/>
        </w:rPr>
        <w:t>İNGLEX</w:t>
      </w:r>
      <w:r w:rsidR="00D47FCD" w:rsidRPr="00924659">
        <w:rPr>
          <w:rFonts w:cs="Times New Roman"/>
          <w:b w:val="0"/>
          <w:spacing w:val="-1"/>
          <w:szCs w:val="24"/>
        </w:rPr>
        <w:t>’in</w:t>
      </w:r>
      <w:proofErr w:type="spellEnd"/>
      <w:r w:rsidRPr="00924659">
        <w:rPr>
          <w:rFonts w:cs="Times New Roman"/>
          <w:b w:val="0"/>
          <w:spacing w:val="-1"/>
          <w:szCs w:val="24"/>
        </w:rPr>
        <w:t xml:space="preserve"> ne de </w:t>
      </w:r>
      <w:r w:rsidR="00E650A0" w:rsidRPr="00924659">
        <w:rPr>
          <w:rFonts w:cs="Times New Roman"/>
          <w:b w:val="0"/>
          <w:spacing w:val="-1"/>
          <w:szCs w:val="24"/>
        </w:rPr>
        <w:t>diğer ilaçların dozları</w:t>
      </w:r>
      <w:r w:rsidRPr="00924659">
        <w:rPr>
          <w:rFonts w:cs="Times New Roman"/>
          <w:b w:val="0"/>
          <w:spacing w:val="-1"/>
          <w:szCs w:val="24"/>
        </w:rPr>
        <w:t xml:space="preserve">nda ayarlama yapılması gerekmez. Benzer şekilde </w:t>
      </w:r>
      <w:r w:rsidR="003D10D8" w:rsidRPr="00924659">
        <w:rPr>
          <w:rFonts w:cs="Times New Roman"/>
          <w:b w:val="0"/>
          <w:spacing w:val="-1"/>
          <w:szCs w:val="24"/>
        </w:rPr>
        <w:t>İNGLEX</w:t>
      </w:r>
      <w:r w:rsidRPr="00924659">
        <w:rPr>
          <w:rFonts w:cs="Times New Roman"/>
          <w:b w:val="0"/>
          <w:spacing w:val="-1"/>
          <w:szCs w:val="24"/>
        </w:rPr>
        <w:t xml:space="preserve">, </w:t>
      </w:r>
      <w:proofErr w:type="spellStart"/>
      <w:r w:rsidRPr="00924659">
        <w:rPr>
          <w:rFonts w:cs="Times New Roman"/>
          <w:b w:val="0"/>
          <w:spacing w:val="-1"/>
          <w:szCs w:val="24"/>
        </w:rPr>
        <w:t>metformin</w:t>
      </w:r>
      <w:proofErr w:type="spellEnd"/>
      <w:r w:rsidRPr="00924659">
        <w:rPr>
          <w:rFonts w:cs="Times New Roman"/>
          <w:b w:val="0"/>
          <w:spacing w:val="-1"/>
          <w:szCs w:val="24"/>
        </w:rPr>
        <w:t xml:space="preserve"> ya da </w:t>
      </w:r>
      <w:proofErr w:type="spellStart"/>
      <w:r w:rsidRPr="00924659">
        <w:rPr>
          <w:rFonts w:cs="Times New Roman"/>
          <w:b w:val="0"/>
          <w:spacing w:val="-1"/>
          <w:szCs w:val="24"/>
        </w:rPr>
        <w:t>glibenklamid</w:t>
      </w:r>
      <w:proofErr w:type="spellEnd"/>
      <w:r w:rsidRPr="00924659">
        <w:rPr>
          <w:rFonts w:cs="Times New Roman"/>
          <w:b w:val="0"/>
          <w:spacing w:val="-1"/>
          <w:szCs w:val="24"/>
        </w:rPr>
        <w:t xml:space="preserve"> gibi diğer oral </w:t>
      </w:r>
      <w:proofErr w:type="spellStart"/>
      <w:r w:rsidRPr="00924659">
        <w:rPr>
          <w:rFonts w:cs="Times New Roman"/>
          <w:b w:val="0"/>
          <w:spacing w:val="-1"/>
          <w:szCs w:val="24"/>
        </w:rPr>
        <w:t>antidiyabetik</w:t>
      </w:r>
      <w:proofErr w:type="spellEnd"/>
      <w:r w:rsidRPr="00924659">
        <w:rPr>
          <w:rFonts w:cs="Times New Roman"/>
          <w:b w:val="0"/>
          <w:spacing w:val="-1"/>
          <w:szCs w:val="24"/>
        </w:rPr>
        <w:t xml:space="preserve"> ilaçlarla klinik önemi olan herhangi bir ilaç-ilaç etkileşimine girmez.</w:t>
      </w:r>
    </w:p>
    <w:p w:rsidR="00EB30C8" w:rsidRPr="00924659" w:rsidRDefault="00EB30C8" w:rsidP="00EB30C8">
      <w:pPr>
        <w:shd w:val="clear" w:color="auto" w:fill="FFFFFF"/>
        <w:spacing w:line="276" w:lineRule="auto"/>
        <w:ind w:right="14"/>
        <w:jc w:val="both"/>
        <w:rPr>
          <w:rFonts w:cs="Times New Roman"/>
          <w:b w:val="0"/>
          <w:spacing w:val="-1"/>
          <w:szCs w:val="24"/>
        </w:rPr>
      </w:pP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Güçlü ve </w:t>
      </w:r>
      <w:proofErr w:type="spellStart"/>
      <w:r w:rsidRPr="00924659">
        <w:rPr>
          <w:rFonts w:cs="Times New Roman"/>
          <w:b w:val="0"/>
          <w:spacing w:val="-1"/>
          <w:szCs w:val="24"/>
        </w:rPr>
        <w:t>selektif</w:t>
      </w:r>
      <w:proofErr w:type="spellEnd"/>
      <w:r w:rsidRPr="00924659">
        <w:rPr>
          <w:rFonts w:cs="Times New Roman"/>
          <w:b w:val="0"/>
          <w:spacing w:val="-1"/>
          <w:szCs w:val="24"/>
        </w:rPr>
        <w:t xml:space="preserve"> bir CYP2C9 inhibitörü olan </w:t>
      </w:r>
      <w:proofErr w:type="spellStart"/>
      <w:r w:rsidRPr="00924659">
        <w:rPr>
          <w:rFonts w:cs="Times New Roman"/>
          <w:b w:val="0"/>
          <w:spacing w:val="-1"/>
          <w:szCs w:val="24"/>
        </w:rPr>
        <w:t>sulfinpirazonla</w:t>
      </w:r>
      <w:proofErr w:type="spellEnd"/>
      <w:r w:rsidRPr="00924659">
        <w:rPr>
          <w:rFonts w:cs="Times New Roman"/>
          <w:b w:val="0"/>
          <w:spacing w:val="-1"/>
          <w:szCs w:val="24"/>
        </w:rPr>
        <w:t xml:space="preserve"> sağlıklı gönüllüler üzerinde yapılan </w:t>
      </w:r>
      <w:r w:rsidRPr="00924659">
        <w:rPr>
          <w:rFonts w:cs="Times New Roman"/>
          <w:b w:val="0"/>
          <w:spacing w:val="-1"/>
          <w:szCs w:val="24"/>
        </w:rPr>
        <w:lastRenderedPageBreak/>
        <w:t xml:space="preserve">bir etkileşim çalışmasında,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AUC değerinin %28 arttığı, ortalama </w:t>
      </w:r>
      <w:proofErr w:type="spellStart"/>
      <w:r w:rsidRPr="00924659">
        <w:rPr>
          <w:rFonts w:cs="Times New Roman"/>
          <w:b w:val="0"/>
          <w:spacing w:val="-1"/>
          <w:szCs w:val="24"/>
        </w:rPr>
        <w:t>C</w:t>
      </w:r>
      <w:r w:rsidRPr="00924659">
        <w:rPr>
          <w:rFonts w:cs="Times New Roman"/>
          <w:b w:val="0"/>
          <w:spacing w:val="-1"/>
          <w:sz w:val="28"/>
          <w:szCs w:val="28"/>
          <w:vertAlign w:val="subscript"/>
        </w:rPr>
        <w:t>max</w:t>
      </w:r>
      <w:proofErr w:type="spellEnd"/>
      <w:r w:rsidRPr="00924659">
        <w:rPr>
          <w:rFonts w:cs="Times New Roman"/>
          <w:b w:val="0"/>
          <w:spacing w:val="-1"/>
          <w:szCs w:val="24"/>
        </w:rPr>
        <w:t xml:space="preserve"> ve eliminasyon ya</w:t>
      </w:r>
      <w:r w:rsidR="00566716" w:rsidRPr="00924659">
        <w:rPr>
          <w:rFonts w:cs="Times New Roman"/>
          <w:b w:val="0"/>
          <w:spacing w:val="-1"/>
          <w:szCs w:val="24"/>
        </w:rPr>
        <w:t>rı</w:t>
      </w:r>
      <w:r w:rsidRPr="00924659">
        <w:rPr>
          <w:rFonts w:cs="Times New Roman"/>
          <w:b w:val="0"/>
          <w:spacing w:val="-1"/>
          <w:szCs w:val="24"/>
        </w:rPr>
        <w:t xml:space="preserve">-ömrünün değişmediği görülmüştür.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w:t>
      </w:r>
      <w:r w:rsidR="00EB30C8" w:rsidRPr="00924659">
        <w:rPr>
          <w:rFonts w:cs="Times New Roman"/>
          <w:b w:val="0"/>
          <w:spacing w:val="-1"/>
          <w:szCs w:val="24"/>
        </w:rPr>
        <w:t xml:space="preserve">güçlü </w:t>
      </w:r>
      <w:r w:rsidRPr="00924659">
        <w:rPr>
          <w:rFonts w:cs="Times New Roman"/>
          <w:b w:val="0"/>
          <w:spacing w:val="-1"/>
          <w:szCs w:val="24"/>
        </w:rPr>
        <w:t xml:space="preserve">CYP2C9 inhibitörleriyle </w:t>
      </w:r>
      <w:r w:rsidR="00EB30C8" w:rsidRPr="00924659">
        <w:rPr>
          <w:b w:val="0"/>
          <w:szCs w:val="24"/>
        </w:rPr>
        <w:t xml:space="preserve">(örn., </w:t>
      </w:r>
      <w:proofErr w:type="spellStart"/>
      <w:r w:rsidR="00EB30C8" w:rsidRPr="00924659">
        <w:rPr>
          <w:b w:val="0"/>
          <w:szCs w:val="24"/>
        </w:rPr>
        <w:t>Flukonazol</w:t>
      </w:r>
      <w:proofErr w:type="spellEnd"/>
      <w:r w:rsidR="00EB30C8" w:rsidRPr="00924659">
        <w:rPr>
          <w:b w:val="0"/>
          <w:szCs w:val="24"/>
        </w:rPr>
        <w:t xml:space="preserve">, </w:t>
      </w:r>
      <w:proofErr w:type="spellStart"/>
      <w:r w:rsidR="00EB30C8" w:rsidRPr="00924659">
        <w:rPr>
          <w:b w:val="0"/>
          <w:szCs w:val="24"/>
        </w:rPr>
        <w:t>Gemfibrozil</w:t>
      </w:r>
      <w:proofErr w:type="spellEnd"/>
      <w:r w:rsidR="00EB30C8" w:rsidRPr="00924659">
        <w:rPr>
          <w:b w:val="0"/>
          <w:szCs w:val="24"/>
        </w:rPr>
        <w:t xml:space="preserve">, </w:t>
      </w:r>
      <w:proofErr w:type="spellStart"/>
      <w:r w:rsidR="00EB30C8" w:rsidRPr="00924659">
        <w:rPr>
          <w:b w:val="0"/>
          <w:szCs w:val="24"/>
        </w:rPr>
        <w:t>Sülfinpirazon</w:t>
      </w:r>
      <w:proofErr w:type="spellEnd"/>
      <w:r w:rsidR="00EB30C8" w:rsidRPr="00924659">
        <w:rPr>
          <w:b w:val="0"/>
          <w:szCs w:val="24"/>
        </w:rPr>
        <w:t xml:space="preserve">) </w:t>
      </w:r>
      <w:r w:rsidRPr="00924659">
        <w:rPr>
          <w:rFonts w:cs="Times New Roman"/>
          <w:b w:val="0"/>
          <w:spacing w:val="-1"/>
          <w:szCs w:val="24"/>
        </w:rPr>
        <w:t>birlikte kullanıldığında, daha uzun süreli bir etki görülmesi ve olası bir hipoglisemi riski göz</w:t>
      </w:r>
      <w:r w:rsidR="00E650A0" w:rsidRPr="00924659">
        <w:rPr>
          <w:rFonts w:cs="Times New Roman"/>
          <w:b w:val="0"/>
          <w:spacing w:val="-1"/>
          <w:szCs w:val="24"/>
        </w:rPr>
        <w:t xml:space="preserve"> </w:t>
      </w:r>
      <w:r w:rsidRPr="00924659">
        <w:rPr>
          <w:rFonts w:cs="Times New Roman"/>
          <w:b w:val="0"/>
          <w:spacing w:val="-1"/>
          <w:szCs w:val="24"/>
        </w:rPr>
        <w:t>ardı edilemez.</w:t>
      </w:r>
    </w:p>
    <w:p w:rsidR="00123BD1" w:rsidRPr="00924659" w:rsidRDefault="00123BD1" w:rsidP="00EB30C8">
      <w:pPr>
        <w:shd w:val="clear" w:color="auto" w:fill="FFFFFF"/>
        <w:spacing w:line="276" w:lineRule="auto"/>
        <w:ind w:right="14"/>
        <w:jc w:val="both"/>
        <w:rPr>
          <w:b w:val="0"/>
          <w:szCs w:val="24"/>
        </w:rPr>
      </w:pPr>
      <w:proofErr w:type="spellStart"/>
      <w:r w:rsidRPr="00924659">
        <w:rPr>
          <w:b w:val="0"/>
          <w:szCs w:val="24"/>
        </w:rPr>
        <w:t>Anjiyotensin</w:t>
      </w:r>
      <w:proofErr w:type="spellEnd"/>
      <w:r w:rsidRPr="00924659">
        <w:rPr>
          <w:b w:val="0"/>
          <w:szCs w:val="24"/>
        </w:rPr>
        <w:t xml:space="preserve"> dönüştürücü enzim inhibitörleri (ADEI), </w:t>
      </w:r>
      <w:proofErr w:type="spellStart"/>
      <w:r w:rsidRPr="00924659">
        <w:rPr>
          <w:b w:val="0"/>
          <w:szCs w:val="24"/>
        </w:rPr>
        <w:t>nateglinidin</w:t>
      </w:r>
      <w:proofErr w:type="spellEnd"/>
      <w:r w:rsidRPr="00924659">
        <w:rPr>
          <w:b w:val="0"/>
          <w:szCs w:val="24"/>
        </w:rPr>
        <w:t xml:space="preserve"> </w:t>
      </w:r>
      <w:proofErr w:type="spellStart"/>
      <w:r w:rsidRPr="00924659">
        <w:rPr>
          <w:b w:val="0"/>
          <w:szCs w:val="24"/>
        </w:rPr>
        <w:t>hipoglisemik</w:t>
      </w:r>
      <w:proofErr w:type="spellEnd"/>
      <w:r w:rsidRPr="00924659">
        <w:rPr>
          <w:b w:val="0"/>
          <w:szCs w:val="24"/>
        </w:rPr>
        <w:t xml:space="preserve"> etkisini arttırabilir.</w:t>
      </w:r>
    </w:p>
    <w:p w:rsidR="00123BD1" w:rsidRPr="00924659" w:rsidRDefault="00123BD1" w:rsidP="00EB30C8">
      <w:pPr>
        <w:shd w:val="clear" w:color="auto" w:fill="FFFFFF"/>
        <w:spacing w:line="276" w:lineRule="auto"/>
        <w:ind w:right="14"/>
        <w:jc w:val="both"/>
        <w:rPr>
          <w:rFonts w:cs="Times New Roman"/>
          <w:b w:val="0"/>
          <w:spacing w:val="-1"/>
          <w:szCs w:val="24"/>
        </w:rPr>
      </w:pPr>
    </w:p>
    <w:p w:rsidR="00273627" w:rsidRPr="00924659" w:rsidRDefault="00405D0D"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Nateglinid</w:t>
      </w:r>
      <w:proofErr w:type="spellEnd"/>
      <w:r w:rsidRPr="00924659">
        <w:rPr>
          <w:rFonts w:cs="Times New Roman"/>
          <w:b w:val="0"/>
          <w:spacing w:val="-1"/>
          <w:szCs w:val="24"/>
        </w:rPr>
        <w:t>, öncelikle albümin olmak üzere plazma proteinlerine yüksek oranda (%98) bağlıdır. Plazma proteinlerine yüksek oranda bağlandıkla</w:t>
      </w:r>
      <w:r w:rsidR="00E650A0" w:rsidRPr="00924659">
        <w:rPr>
          <w:rFonts w:cs="Times New Roman"/>
          <w:b w:val="0"/>
          <w:spacing w:val="-1"/>
          <w:szCs w:val="24"/>
        </w:rPr>
        <w:t>rı</w:t>
      </w:r>
      <w:r w:rsidRPr="00924659">
        <w:rPr>
          <w:rFonts w:cs="Times New Roman"/>
          <w:b w:val="0"/>
          <w:spacing w:val="-1"/>
          <w:szCs w:val="24"/>
        </w:rPr>
        <w:t xml:space="preserve"> bilinen </w:t>
      </w:r>
      <w:proofErr w:type="spellStart"/>
      <w:r w:rsidRPr="00924659">
        <w:rPr>
          <w:rFonts w:cs="Times New Roman"/>
          <w:b w:val="0"/>
          <w:spacing w:val="-1"/>
          <w:szCs w:val="24"/>
        </w:rPr>
        <w:t>furosemid</w:t>
      </w:r>
      <w:proofErr w:type="spellEnd"/>
      <w:r w:rsidRPr="00924659">
        <w:rPr>
          <w:rFonts w:cs="Times New Roman"/>
          <w:b w:val="0"/>
          <w:spacing w:val="-1"/>
          <w:szCs w:val="24"/>
        </w:rPr>
        <w:t xml:space="preserve">, </w:t>
      </w:r>
      <w:proofErr w:type="spellStart"/>
      <w:r w:rsidRPr="00924659">
        <w:rPr>
          <w:rFonts w:cs="Times New Roman"/>
          <w:b w:val="0"/>
          <w:spacing w:val="-1"/>
          <w:szCs w:val="24"/>
        </w:rPr>
        <w:t>propranolol</w:t>
      </w:r>
      <w:proofErr w:type="spellEnd"/>
      <w:r w:rsidRPr="00924659">
        <w:rPr>
          <w:rFonts w:cs="Times New Roman"/>
          <w:b w:val="0"/>
          <w:spacing w:val="-1"/>
          <w:szCs w:val="24"/>
        </w:rPr>
        <w:t xml:space="preserve">, </w:t>
      </w:r>
      <w:proofErr w:type="spellStart"/>
      <w:r w:rsidRPr="00924659">
        <w:rPr>
          <w:rFonts w:cs="Times New Roman"/>
          <w:b w:val="0"/>
          <w:spacing w:val="-1"/>
          <w:szCs w:val="24"/>
        </w:rPr>
        <w:t>kaptopril</w:t>
      </w:r>
      <w:proofErr w:type="spellEnd"/>
      <w:r w:rsidRPr="00924659">
        <w:rPr>
          <w:rFonts w:cs="Times New Roman"/>
          <w:b w:val="0"/>
          <w:spacing w:val="-1"/>
          <w:szCs w:val="24"/>
        </w:rPr>
        <w:t xml:space="preserve">, </w:t>
      </w:r>
      <w:proofErr w:type="spellStart"/>
      <w:r w:rsidRPr="00924659">
        <w:rPr>
          <w:rFonts w:cs="Times New Roman"/>
          <w:b w:val="0"/>
          <w:spacing w:val="-1"/>
          <w:szCs w:val="24"/>
        </w:rPr>
        <w:t>nikardipin</w:t>
      </w:r>
      <w:proofErr w:type="spellEnd"/>
      <w:r w:rsidRPr="00924659">
        <w:rPr>
          <w:rFonts w:cs="Times New Roman"/>
          <w:b w:val="0"/>
          <w:spacing w:val="-1"/>
          <w:szCs w:val="24"/>
        </w:rPr>
        <w:t xml:space="preserve">, </w:t>
      </w:r>
      <w:proofErr w:type="spellStart"/>
      <w:r w:rsidRPr="00924659">
        <w:rPr>
          <w:rFonts w:cs="Times New Roman"/>
          <w:b w:val="0"/>
          <w:spacing w:val="-1"/>
          <w:szCs w:val="24"/>
        </w:rPr>
        <w:t>pravastatin</w:t>
      </w:r>
      <w:proofErr w:type="spellEnd"/>
      <w:r w:rsidRPr="00924659">
        <w:rPr>
          <w:rFonts w:cs="Times New Roman"/>
          <w:b w:val="0"/>
          <w:spacing w:val="-1"/>
          <w:szCs w:val="24"/>
        </w:rPr>
        <w:t xml:space="preserve">, </w:t>
      </w:r>
      <w:proofErr w:type="spellStart"/>
      <w:r w:rsidRPr="00924659">
        <w:rPr>
          <w:rFonts w:cs="Times New Roman"/>
          <w:b w:val="0"/>
          <w:spacing w:val="-1"/>
          <w:szCs w:val="24"/>
        </w:rPr>
        <w:t>glibenklamid</w:t>
      </w:r>
      <w:proofErr w:type="spellEnd"/>
      <w:r w:rsidRPr="00924659">
        <w:rPr>
          <w:rFonts w:cs="Times New Roman"/>
          <w:b w:val="0"/>
          <w:spacing w:val="-1"/>
          <w:szCs w:val="24"/>
        </w:rPr>
        <w:t xml:space="preserve">, </w:t>
      </w:r>
      <w:proofErr w:type="spellStart"/>
      <w:r w:rsidRPr="00924659">
        <w:rPr>
          <w:rFonts w:cs="Times New Roman"/>
          <w:b w:val="0"/>
          <w:spacing w:val="-1"/>
          <w:szCs w:val="24"/>
        </w:rPr>
        <w:t>varfarin</w:t>
      </w:r>
      <w:proofErr w:type="spellEnd"/>
      <w:r w:rsidRPr="00924659">
        <w:rPr>
          <w:rFonts w:cs="Times New Roman"/>
          <w:b w:val="0"/>
          <w:spacing w:val="-1"/>
          <w:szCs w:val="24"/>
        </w:rPr>
        <w:t xml:space="preserve">, </w:t>
      </w:r>
      <w:proofErr w:type="spellStart"/>
      <w:r w:rsidRPr="00924659">
        <w:rPr>
          <w:rFonts w:cs="Times New Roman"/>
          <w:b w:val="0"/>
          <w:spacing w:val="-1"/>
          <w:szCs w:val="24"/>
        </w:rPr>
        <w:t>fenitoin</w:t>
      </w:r>
      <w:proofErr w:type="spellEnd"/>
      <w:r w:rsidRPr="00924659">
        <w:rPr>
          <w:rFonts w:cs="Times New Roman"/>
          <w:b w:val="0"/>
          <w:spacing w:val="-1"/>
          <w:szCs w:val="24"/>
        </w:rPr>
        <w:t xml:space="preserve">, </w:t>
      </w:r>
      <w:proofErr w:type="spellStart"/>
      <w:r w:rsidRPr="00924659">
        <w:rPr>
          <w:rFonts w:cs="Times New Roman"/>
          <w:b w:val="0"/>
          <w:spacing w:val="-1"/>
          <w:szCs w:val="24"/>
        </w:rPr>
        <w:t>asetilsalisilik</w:t>
      </w:r>
      <w:proofErr w:type="spellEnd"/>
      <w:r w:rsidRPr="00924659">
        <w:rPr>
          <w:rFonts w:cs="Times New Roman"/>
          <w:b w:val="0"/>
          <w:spacing w:val="-1"/>
          <w:szCs w:val="24"/>
        </w:rPr>
        <w:t xml:space="preserve"> asit, </w:t>
      </w:r>
      <w:proofErr w:type="spellStart"/>
      <w:r w:rsidRPr="00924659">
        <w:rPr>
          <w:rFonts w:cs="Times New Roman"/>
          <w:b w:val="0"/>
          <w:spacing w:val="-1"/>
          <w:szCs w:val="24"/>
        </w:rPr>
        <w:t>tolbutamid</w:t>
      </w:r>
      <w:proofErr w:type="spellEnd"/>
      <w:r w:rsidRPr="00924659">
        <w:rPr>
          <w:rFonts w:cs="Times New Roman"/>
          <w:b w:val="0"/>
          <w:spacing w:val="-1"/>
          <w:szCs w:val="24"/>
        </w:rPr>
        <w:t xml:space="preserve"> ve </w:t>
      </w:r>
      <w:proofErr w:type="spellStart"/>
      <w:r w:rsidRPr="00924659">
        <w:rPr>
          <w:rFonts w:cs="Times New Roman"/>
          <w:b w:val="0"/>
          <w:spacing w:val="-1"/>
          <w:szCs w:val="24"/>
        </w:rPr>
        <w:t>met</w:t>
      </w:r>
      <w:r w:rsidR="00A214B7" w:rsidRPr="00924659">
        <w:rPr>
          <w:rFonts w:cs="Times New Roman"/>
          <w:b w:val="0"/>
          <w:spacing w:val="-1"/>
          <w:szCs w:val="24"/>
        </w:rPr>
        <w:t>formin</w:t>
      </w:r>
      <w:proofErr w:type="spellEnd"/>
      <w:r w:rsidR="00A214B7" w:rsidRPr="00924659">
        <w:rPr>
          <w:rFonts w:cs="Times New Roman"/>
          <w:b w:val="0"/>
          <w:spacing w:val="-1"/>
          <w:szCs w:val="24"/>
        </w:rPr>
        <w:t xml:space="preserve"> gibi ilaçların kullanı</w:t>
      </w:r>
      <w:r w:rsidRPr="00924659">
        <w:rPr>
          <w:rFonts w:cs="Times New Roman"/>
          <w:b w:val="0"/>
          <w:spacing w:val="-1"/>
          <w:szCs w:val="24"/>
        </w:rPr>
        <w:t xml:space="preserve">ldığı </w:t>
      </w:r>
      <w:r w:rsidRPr="00924659">
        <w:rPr>
          <w:rFonts w:cs="Times New Roman"/>
          <w:b w:val="0"/>
          <w:i/>
          <w:spacing w:val="-1"/>
          <w:szCs w:val="24"/>
        </w:rPr>
        <w:t xml:space="preserve">in </w:t>
      </w:r>
      <w:proofErr w:type="spellStart"/>
      <w:r w:rsidRPr="00924659">
        <w:rPr>
          <w:rFonts w:cs="Times New Roman"/>
          <w:b w:val="0"/>
          <w:i/>
          <w:spacing w:val="-1"/>
          <w:szCs w:val="24"/>
        </w:rPr>
        <w:t>vitro</w:t>
      </w:r>
      <w:proofErr w:type="spellEnd"/>
      <w:r w:rsidRPr="00924659">
        <w:rPr>
          <w:rFonts w:cs="Times New Roman"/>
          <w:b w:val="0"/>
          <w:spacing w:val="-1"/>
          <w:szCs w:val="24"/>
        </w:rPr>
        <w:t xml:space="preserve"> deplasman çalışmala</w:t>
      </w:r>
      <w:r w:rsidR="00A214B7" w:rsidRPr="00924659">
        <w:rPr>
          <w:rFonts w:cs="Times New Roman"/>
          <w:b w:val="0"/>
          <w:spacing w:val="-1"/>
          <w:szCs w:val="24"/>
        </w:rPr>
        <w:t>rı</w:t>
      </w:r>
      <w:r w:rsidRPr="00924659">
        <w:rPr>
          <w:rFonts w:cs="Times New Roman"/>
          <w:b w:val="0"/>
          <w:spacing w:val="-1"/>
          <w:szCs w:val="24"/>
        </w:rPr>
        <w:t xml:space="preserve">, bu </w:t>
      </w:r>
      <w:r w:rsidR="00A214B7" w:rsidRPr="00924659">
        <w:rPr>
          <w:rFonts w:cs="Times New Roman"/>
          <w:b w:val="0"/>
          <w:spacing w:val="-1"/>
          <w:szCs w:val="24"/>
        </w:rPr>
        <w:t>ilaçları</w:t>
      </w:r>
      <w:r w:rsidRPr="00924659">
        <w:rPr>
          <w:rFonts w:cs="Times New Roman"/>
          <w:b w:val="0"/>
          <w:spacing w:val="-1"/>
          <w:szCs w:val="24"/>
        </w:rPr>
        <w:t xml:space="preserve">n,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proteinlere bağlanma oranı üzerinde etkili olmadığını göstermiştir. Benzer olarak,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w:t>
      </w:r>
      <w:proofErr w:type="spellStart"/>
      <w:r w:rsidRPr="00924659">
        <w:rPr>
          <w:rFonts w:cs="Times New Roman"/>
          <w:b w:val="0"/>
          <w:spacing w:val="-1"/>
          <w:szCs w:val="24"/>
        </w:rPr>
        <w:t>propranolol</w:t>
      </w:r>
      <w:proofErr w:type="spellEnd"/>
      <w:r w:rsidRPr="00924659">
        <w:rPr>
          <w:rFonts w:cs="Times New Roman"/>
          <w:b w:val="0"/>
          <w:spacing w:val="-1"/>
          <w:szCs w:val="24"/>
        </w:rPr>
        <w:t xml:space="preserve">, </w:t>
      </w:r>
      <w:proofErr w:type="spellStart"/>
      <w:r w:rsidRPr="00924659">
        <w:rPr>
          <w:rFonts w:cs="Times New Roman"/>
          <w:b w:val="0"/>
          <w:spacing w:val="-1"/>
          <w:szCs w:val="24"/>
        </w:rPr>
        <w:t>glibenklamid</w:t>
      </w:r>
      <w:proofErr w:type="spellEnd"/>
      <w:r w:rsidRPr="00924659">
        <w:rPr>
          <w:rFonts w:cs="Times New Roman"/>
          <w:b w:val="0"/>
          <w:spacing w:val="-1"/>
          <w:szCs w:val="24"/>
        </w:rPr>
        <w:t xml:space="preserve">, </w:t>
      </w:r>
      <w:proofErr w:type="spellStart"/>
      <w:r w:rsidRPr="00924659">
        <w:rPr>
          <w:rFonts w:cs="Times New Roman"/>
          <w:b w:val="0"/>
          <w:spacing w:val="-1"/>
          <w:szCs w:val="24"/>
        </w:rPr>
        <w:t>nikardipin</w:t>
      </w:r>
      <w:proofErr w:type="spellEnd"/>
      <w:r w:rsidRPr="00924659">
        <w:rPr>
          <w:rFonts w:cs="Times New Roman"/>
          <w:b w:val="0"/>
          <w:spacing w:val="-1"/>
          <w:szCs w:val="24"/>
        </w:rPr>
        <w:t xml:space="preserve">, </w:t>
      </w:r>
      <w:proofErr w:type="spellStart"/>
      <w:r w:rsidRPr="00924659">
        <w:rPr>
          <w:rFonts w:cs="Times New Roman"/>
          <w:b w:val="0"/>
          <w:spacing w:val="-1"/>
          <w:szCs w:val="24"/>
        </w:rPr>
        <w:t>varfarin</w:t>
      </w:r>
      <w:proofErr w:type="spellEnd"/>
      <w:r w:rsidRPr="00924659">
        <w:rPr>
          <w:rFonts w:cs="Times New Roman"/>
          <w:b w:val="0"/>
          <w:spacing w:val="-1"/>
          <w:szCs w:val="24"/>
        </w:rPr>
        <w:t xml:space="preserve">, </w:t>
      </w:r>
      <w:proofErr w:type="spellStart"/>
      <w:r w:rsidRPr="00924659">
        <w:rPr>
          <w:rFonts w:cs="Times New Roman"/>
          <w:b w:val="0"/>
          <w:spacing w:val="-1"/>
          <w:szCs w:val="24"/>
        </w:rPr>
        <w:t>fenitoin</w:t>
      </w:r>
      <w:proofErr w:type="spellEnd"/>
      <w:r w:rsidRPr="00924659">
        <w:rPr>
          <w:rFonts w:cs="Times New Roman"/>
          <w:b w:val="0"/>
          <w:spacing w:val="-1"/>
          <w:szCs w:val="24"/>
        </w:rPr>
        <w:t xml:space="preserve">, </w:t>
      </w:r>
      <w:proofErr w:type="spellStart"/>
      <w:r w:rsidRPr="00924659">
        <w:rPr>
          <w:rFonts w:cs="Times New Roman"/>
          <w:b w:val="0"/>
          <w:spacing w:val="-1"/>
          <w:szCs w:val="24"/>
        </w:rPr>
        <w:t>asetilsalisilik</w:t>
      </w:r>
      <w:proofErr w:type="spellEnd"/>
      <w:r w:rsidRPr="00924659">
        <w:rPr>
          <w:rFonts w:cs="Times New Roman"/>
          <w:b w:val="0"/>
          <w:spacing w:val="-1"/>
          <w:szCs w:val="24"/>
        </w:rPr>
        <w:t xml:space="preserve"> asit ve </w:t>
      </w:r>
      <w:proofErr w:type="spellStart"/>
      <w:r w:rsidRPr="00924659">
        <w:rPr>
          <w:rFonts w:cs="Times New Roman"/>
          <w:b w:val="0"/>
          <w:spacing w:val="-1"/>
          <w:szCs w:val="24"/>
        </w:rPr>
        <w:t>tolbutamidin</w:t>
      </w:r>
      <w:proofErr w:type="spellEnd"/>
      <w:r w:rsidRPr="00924659">
        <w:rPr>
          <w:rFonts w:cs="Times New Roman"/>
          <w:b w:val="0"/>
          <w:spacing w:val="-1"/>
          <w:szCs w:val="24"/>
        </w:rPr>
        <w:t xml:space="preserve"> serum protein bağlanması üzerine hiçbir etkisi bulunmamaktadır.</w:t>
      </w:r>
    </w:p>
    <w:p w:rsidR="00123BD1" w:rsidRPr="00924659" w:rsidRDefault="00123BD1" w:rsidP="00EB30C8">
      <w:pPr>
        <w:shd w:val="clear" w:color="auto" w:fill="FFFFFF"/>
        <w:spacing w:line="276" w:lineRule="auto"/>
        <w:ind w:right="14"/>
        <w:jc w:val="both"/>
        <w:rPr>
          <w:rFonts w:cs="Times New Roman"/>
          <w:b w:val="0"/>
          <w:spacing w:val="-1"/>
          <w:szCs w:val="24"/>
        </w:rPr>
      </w:pPr>
    </w:p>
    <w:p w:rsidR="00123BD1" w:rsidRPr="00924659" w:rsidRDefault="00123BD1" w:rsidP="00123BD1">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Glukoz</w:t>
      </w:r>
      <w:proofErr w:type="spellEnd"/>
      <w:r w:rsidRPr="00924659">
        <w:rPr>
          <w:rFonts w:cs="Times New Roman"/>
          <w:b w:val="0"/>
          <w:spacing w:val="-1"/>
          <w:szCs w:val="24"/>
        </w:rPr>
        <w:t xml:space="preserve"> metabolizmasını etkileyen çok sayıda ilaçla etkileşim olasılığı, doktor tarafından göz önünde bulundurulmalıdır.</w:t>
      </w:r>
    </w:p>
    <w:p w:rsidR="00123BD1" w:rsidRPr="00924659" w:rsidRDefault="00123BD1" w:rsidP="00123BD1">
      <w:pPr>
        <w:shd w:val="clear" w:color="auto" w:fill="FFFFFF"/>
        <w:spacing w:line="276" w:lineRule="auto"/>
        <w:ind w:right="14"/>
        <w:jc w:val="both"/>
        <w:rPr>
          <w:rFonts w:cs="Times New Roman"/>
          <w:b w:val="0"/>
          <w:spacing w:val="-1"/>
          <w:szCs w:val="24"/>
        </w:rPr>
      </w:pPr>
    </w:p>
    <w:p w:rsidR="00123BD1" w:rsidRPr="00924659" w:rsidRDefault="00123BD1" w:rsidP="00123BD1">
      <w:pPr>
        <w:shd w:val="clear" w:color="auto" w:fill="FFFFFF"/>
        <w:spacing w:line="276" w:lineRule="auto"/>
        <w:ind w:right="14"/>
        <w:jc w:val="both"/>
        <w:rPr>
          <w:b w:val="0"/>
          <w:szCs w:val="24"/>
        </w:rPr>
      </w:pPr>
      <w:r w:rsidRPr="00924659">
        <w:rPr>
          <w:rFonts w:cs="Times New Roman"/>
          <w:b w:val="0"/>
          <w:spacing w:val="-1"/>
          <w:szCs w:val="24"/>
        </w:rPr>
        <w:t xml:space="preserve">Oral </w:t>
      </w:r>
      <w:proofErr w:type="spellStart"/>
      <w:r w:rsidRPr="00924659">
        <w:rPr>
          <w:rFonts w:cs="Times New Roman"/>
          <w:b w:val="0"/>
          <w:spacing w:val="-1"/>
          <w:szCs w:val="24"/>
        </w:rPr>
        <w:t>antidiyabetik</w:t>
      </w:r>
      <w:proofErr w:type="spellEnd"/>
      <w:r w:rsidRPr="00924659">
        <w:rPr>
          <w:rFonts w:cs="Times New Roman"/>
          <w:b w:val="0"/>
          <w:spacing w:val="-1"/>
          <w:szCs w:val="24"/>
        </w:rPr>
        <w:t xml:space="preserve"> ilaçların </w:t>
      </w:r>
      <w:proofErr w:type="spellStart"/>
      <w:r w:rsidRPr="00924659">
        <w:rPr>
          <w:rFonts w:cs="Times New Roman"/>
          <w:b w:val="0"/>
          <w:spacing w:val="-1"/>
          <w:szCs w:val="24"/>
        </w:rPr>
        <w:t>hipoglisemik</w:t>
      </w:r>
      <w:proofErr w:type="spellEnd"/>
      <w:r w:rsidRPr="00924659">
        <w:rPr>
          <w:rFonts w:cs="Times New Roman"/>
          <w:b w:val="0"/>
          <w:spacing w:val="-1"/>
          <w:szCs w:val="24"/>
        </w:rPr>
        <w:t xml:space="preserve"> etkisi, aralarında NSAII grubunun, salisilatların, </w:t>
      </w:r>
      <w:proofErr w:type="spellStart"/>
      <w:r w:rsidRPr="00924659">
        <w:rPr>
          <w:rFonts w:cs="Times New Roman"/>
          <w:b w:val="0"/>
          <w:spacing w:val="-1"/>
          <w:szCs w:val="24"/>
        </w:rPr>
        <w:t>monoamin</w:t>
      </w:r>
      <w:proofErr w:type="spellEnd"/>
      <w:r w:rsidRPr="00924659">
        <w:rPr>
          <w:rFonts w:cs="Times New Roman"/>
          <w:b w:val="0"/>
          <w:spacing w:val="-1"/>
          <w:szCs w:val="24"/>
        </w:rPr>
        <w:t xml:space="preserve"> </w:t>
      </w:r>
      <w:proofErr w:type="spellStart"/>
      <w:r w:rsidRPr="00924659">
        <w:rPr>
          <w:rFonts w:cs="Times New Roman"/>
          <w:b w:val="0"/>
          <w:spacing w:val="-1"/>
          <w:szCs w:val="24"/>
        </w:rPr>
        <w:t>oksidaz</w:t>
      </w:r>
      <w:proofErr w:type="spellEnd"/>
      <w:r w:rsidRPr="00924659">
        <w:rPr>
          <w:rFonts w:cs="Times New Roman"/>
          <w:b w:val="0"/>
          <w:spacing w:val="-1"/>
          <w:szCs w:val="24"/>
        </w:rPr>
        <w:t xml:space="preserve"> (MAO) inhibitörlerinin ve </w:t>
      </w:r>
      <w:proofErr w:type="spellStart"/>
      <w:r w:rsidRPr="00924659">
        <w:rPr>
          <w:rFonts w:cs="Times New Roman"/>
          <w:b w:val="0"/>
          <w:spacing w:val="-1"/>
          <w:szCs w:val="24"/>
        </w:rPr>
        <w:t>nonselektif</w:t>
      </w:r>
      <w:proofErr w:type="spellEnd"/>
      <w:r w:rsidRPr="00924659">
        <w:rPr>
          <w:rFonts w:cs="Times New Roman"/>
          <w:b w:val="0"/>
          <w:spacing w:val="-1"/>
          <w:szCs w:val="24"/>
        </w:rPr>
        <w:t xml:space="preserve"> beta-</w:t>
      </w:r>
      <w:proofErr w:type="spellStart"/>
      <w:r w:rsidRPr="00924659">
        <w:rPr>
          <w:rFonts w:cs="Times New Roman"/>
          <w:b w:val="0"/>
          <w:spacing w:val="-1"/>
          <w:szCs w:val="24"/>
        </w:rPr>
        <w:t>adrenerjik</w:t>
      </w:r>
      <w:proofErr w:type="spellEnd"/>
      <w:r w:rsidRPr="00924659">
        <w:rPr>
          <w:rFonts w:cs="Times New Roman"/>
          <w:b w:val="0"/>
          <w:spacing w:val="-1"/>
          <w:szCs w:val="24"/>
        </w:rPr>
        <w:t xml:space="preserve"> </w:t>
      </w:r>
      <w:proofErr w:type="spellStart"/>
      <w:r w:rsidRPr="00924659">
        <w:rPr>
          <w:rFonts w:cs="Times New Roman"/>
          <w:b w:val="0"/>
          <w:spacing w:val="-1"/>
          <w:szCs w:val="24"/>
        </w:rPr>
        <w:t>blokörlerin</w:t>
      </w:r>
      <w:proofErr w:type="spellEnd"/>
      <w:r w:rsidRPr="00924659">
        <w:rPr>
          <w:rFonts w:cs="Times New Roman"/>
          <w:b w:val="0"/>
          <w:spacing w:val="-1"/>
          <w:szCs w:val="24"/>
        </w:rPr>
        <w:t xml:space="preserve"> </w:t>
      </w:r>
      <w:proofErr w:type="spellStart"/>
      <w:r w:rsidRPr="00924659">
        <w:rPr>
          <w:b w:val="0"/>
          <w:szCs w:val="24"/>
        </w:rPr>
        <w:t>anabolik</w:t>
      </w:r>
      <w:proofErr w:type="spellEnd"/>
      <w:r w:rsidRPr="00924659">
        <w:rPr>
          <w:b w:val="0"/>
          <w:szCs w:val="24"/>
        </w:rPr>
        <w:t xml:space="preserve"> hormonların (örn. </w:t>
      </w:r>
      <w:proofErr w:type="spellStart"/>
      <w:r w:rsidRPr="00924659">
        <w:rPr>
          <w:b w:val="0"/>
          <w:szCs w:val="24"/>
        </w:rPr>
        <w:t>metandrostenolon</w:t>
      </w:r>
      <w:proofErr w:type="spellEnd"/>
      <w:r w:rsidRPr="00924659">
        <w:rPr>
          <w:b w:val="0"/>
          <w:szCs w:val="24"/>
        </w:rPr>
        <w:t xml:space="preserve">), </w:t>
      </w:r>
      <w:proofErr w:type="spellStart"/>
      <w:r w:rsidRPr="00924659">
        <w:rPr>
          <w:b w:val="0"/>
          <w:szCs w:val="24"/>
        </w:rPr>
        <w:t>guanetidin</w:t>
      </w:r>
      <w:proofErr w:type="spellEnd"/>
      <w:r w:rsidRPr="00924659">
        <w:rPr>
          <w:b w:val="0"/>
          <w:szCs w:val="24"/>
        </w:rPr>
        <w:t xml:space="preserve">, </w:t>
      </w:r>
      <w:proofErr w:type="spellStart"/>
      <w:r w:rsidRPr="00924659">
        <w:rPr>
          <w:b w:val="0"/>
          <w:szCs w:val="24"/>
        </w:rPr>
        <w:t>jimnema</w:t>
      </w:r>
      <w:proofErr w:type="spellEnd"/>
      <w:r w:rsidRPr="00924659">
        <w:rPr>
          <w:b w:val="0"/>
          <w:szCs w:val="24"/>
        </w:rPr>
        <w:t xml:space="preserve"> </w:t>
      </w:r>
      <w:proofErr w:type="spellStart"/>
      <w:r w:rsidRPr="00924659">
        <w:rPr>
          <w:b w:val="0"/>
          <w:szCs w:val="24"/>
        </w:rPr>
        <w:t>silvestre</w:t>
      </w:r>
      <w:proofErr w:type="spellEnd"/>
      <w:r w:rsidRPr="00924659">
        <w:rPr>
          <w:b w:val="0"/>
          <w:szCs w:val="24"/>
        </w:rPr>
        <w:t xml:space="preserve">, </w:t>
      </w:r>
      <w:proofErr w:type="spellStart"/>
      <w:r w:rsidRPr="00924659">
        <w:rPr>
          <w:b w:val="0"/>
          <w:szCs w:val="24"/>
        </w:rPr>
        <w:t>glukomannan</w:t>
      </w:r>
      <w:proofErr w:type="spellEnd"/>
      <w:r w:rsidRPr="00924659">
        <w:rPr>
          <w:b w:val="0"/>
          <w:szCs w:val="24"/>
        </w:rPr>
        <w:t xml:space="preserve"> ve </w:t>
      </w:r>
      <w:proofErr w:type="spellStart"/>
      <w:r w:rsidRPr="00924659">
        <w:rPr>
          <w:b w:val="0"/>
          <w:szCs w:val="24"/>
        </w:rPr>
        <w:t>tioktik</w:t>
      </w:r>
      <w:proofErr w:type="spellEnd"/>
      <w:r w:rsidRPr="00924659">
        <w:rPr>
          <w:b w:val="0"/>
          <w:szCs w:val="24"/>
        </w:rPr>
        <w:t xml:space="preserve"> asit gibi ilaçların etkisiyle artabilir.</w:t>
      </w:r>
      <w:r w:rsidR="00A52D22" w:rsidRPr="00924659">
        <w:rPr>
          <w:b w:val="0"/>
          <w:szCs w:val="24"/>
        </w:rPr>
        <w:t xml:space="preserve"> </w:t>
      </w:r>
      <w:proofErr w:type="spellStart"/>
      <w:r w:rsidRPr="00924659">
        <w:rPr>
          <w:b w:val="0"/>
          <w:szCs w:val="24"/>
        </w:rPr>
        <w:t>Nateglinid</w:t>
      </w:r>
      <w:proofErr w:type="spellEnd"/>
      <w:r w:rsidRPr="00924659">
        <w:rPr>
          <w:b w:val="0"/>
          <w:szCs w:val="24"/>
        </w:rPr>
        <w:t xml:space="preserve"> almakta olan hastalara bu ilaçlar uygulandığında ya da bu ilaçlarla tedavi durdurulduğunda, hasta </w:t>
      </w:r>
      <w:proofErr w:type="spellStart"/>
      <w:r w:rsidRPr="00924659">
        <w:rPr>
          <w:b w:val="0"/>
          <w:szCs w:val="24"/>
        </w:rPr>
        <w:t>glisemik</w:t>
      </w:r>
      <w:proofErr w:type="spellEnd"/>
      <w:r w:rsidRPr="00924659">
        <w:rPr>
          <w:b w:val="0"/>
          <w:szCs w:val="24"/>
        </w:rPr>
        <w:t xml:space="preserve"> kontroldeki değişiklikler açısından dikkatle izlenmelidir.</w:t>
      </w:r>
    </w:p>
    <w:p w:rsidR="00123BD1" w:rsidRPr="00924659" w:rsidRDefault="00123BD1" w:rsidP="00123BD1">
      <w:pPr>
        <w:shd w:val="clear" w:color="auto" w:fill="FFFFFF"/>
        <w:spacing w:line="276" w:lineRule="auto"/>
        <w:ind w:right="14"/>
        <w:jc w:val="both"/>
        <w:rPr>
          <w:rFonts w:cs="Times New Roman"/>
          <w:b w:val="0"/>
          <w:spacing w:val="-1"/>
          <w:szCs w:val="24"/>
        </w:rPr>
      </w:pPr>
    </w:p>
    <w:p w:rsidR="00A52D22" w:rsidRPr="00924659" w:rsidRDefault="00A52D22" w:rsidP="00123BD1">
      <w:pPr>
        <w:shd w:val="clear" w:color="auto" w:fill="FFFFFF"/>
        <w:spacing w:line="276" w:lineRule="auto"/>
        <w:ind w:right="14"/>
        <w:jc w:val="both"/>
        <w:rPr>
          <w:b w:val="0"/>
          <w:szCs w:val="24"/>
        </w:rPr>
      </w:pPr>
      <w:r w:rsidRPr="00924659">
        <w:rPr>
          <w:b w:val="0"/>
          <w:szCs w:val="24"/>
        </w:rPr>
        <w:t xml:space="preserve">Oral </w:t>
      </w:r>
      <w:proofErr w:type="spellStart"/>
      <w:r w:rsidRPr="00924659">
        <w:rPr>
          <w:b w:val="0"/>
          <w:szCs w:val="24"/>
        </w:rPr>
        <w:t>antidiyabetik</w:t>
      </w:r>
      <w:proofErr w:type="spellEnd"/>
      <w:r w:rsidRPr="00924659">
        <w:rPr>
          <w:b w:val="0"/>
          <w:szCs w:val="24"/>
        </w:rPr>
        <w:t xml:space="preserve"> ilaçların </w:t>
      </w:r>
      <w:proofErr w:type="spellStart"/>
      <w:r w:rsidRPr="00924659">
        <w:rPr>
          <w:b w:val="0"/>
          <w:szCs w:val="24"/>
        </w:rPr>
        <w:t>hipoglisemik</w:t>
      </w:r>
      <w:proofErr w:type="spellEnd"/>
      <w:r w:rsidRPr="00924659">
        <w:rPr>
          <w:b w:val="0"/>
          <w:szCs w:val="24"/>
        </w:rPr>
        <w:t xml:space="preserve"> etkisi, </w:t>
      </w:r>
      <w:proofErr w:type="spellStart"/>
      <w:r w:rsidRPr="00924659">
        <w:rPr>
          <w:b w:val="0"/>
          <w:szCs w:val="24"/>
        </w:rPr>
        <w:t>tiyazidlerin</w:t>
      </w:r>
      <w:proofErr w:type="spellEnd"/>
      <w:r w:rsidRPr="00924659">
        <w:rPr>
          <w:b w:val="0"/>
          <w:szCs w:val="24"/>
        </w:rPr>
        <w:t xml:space="preserve">, </w:t>
      </w:r>
      <w:proofErr w:type="spellStart"/>
      <w:r w:rsidRPr="00924659">
        <w:rPr>
          <w:b w:val="0"/>
          <w:szCs w:val="24"/>
        </w:rPr>
        <w:t>kortikosteroidlerin</w:t>
      </w:r>
      <w:proofErr w:type="spellEnd"/>
      <w:r w:rsidRPr="00924659">
        <w:rPr>
          <w:b w:val="0"/>
          <w:szCs w:val="24"/>
        </w:rPr>
        <w:t xml:space="preserve">, </w:t>
      </w:r>
      <w:proofErr w:type="spellStart"/>
      <w:r w:rsidRPr="00924659">
        <w:rPr>
          <w:b w:val="0"/>
          <w:szCs w:val="24"/>
        </w:rPr>
        <w:t>tiroid</w:t>
      </w:r>
      <w:proofErr w:type="spellEnd"/>
      <w:r w:rsidRPr="00924659">
        <w:rPr>
          <w:b w:val="0"/>
          <w:szCs w:val="24"/>
        </w:rPr>
        <w:t xml:space="preserve"> ürünlerinin, </w:t>
      </w:r>
      <w:proofErr w:type="spellStart"/>
      <w:r w:rsidRPr="00924659">
        <w:rPr>
          <w:b w:val="0"/>
          <w:szCs w:val="24"/>
        </w:rPr>
        <w:t>sempatomimetiklerin</w:t>
      </w:r>
      <w:proofErr w:type="spellEnd"/>
      <w:r w:rsidRPr="00924659">
        <w:rPr>
          <w:b w:val="0"/>
          <w:szCs w:val="24"/>
        </w:rPr>
        <w:t xml:space="preserve">, </w:t>
      </w:r>
      <w:proofErr w:type="spellStart"/>
      <w:r w:rsidRPr="00924659">
        <w:rPr>
          <w:b w:val="0"/>
          <w:szCs w:val="24"/>
        </w:rPr>
        <w:t>somatropin</w:t>
      </w:r>
      <w:proofErr w:type="spellEnd"/>
      <w:r w:rsidRPr="00924659">
        <w:rPr>
          <w:b w:val="0"/>
          <w:szCs w:val="24"/>
        </w:rPr>
        <w:t xml:space="preserve">, </w:t>
      </w:r>
      <w:proofErr w:type="spellStart"/>
      <w:r w:rsidRPr="00924659">
        <w:rPr>
          <w:b w:val="0"/>
          <w:szCs w:val="24"/>
        </w:rPr>
        <w:t>somatostatin</w:t>
      </w:r>
      <w:proofErr w:type="spellEnd"/>
      <w:r w:rsidRPr="00924659">
        <w:rPr>
          <w:b w:val="0"/>
          <w:szCs w:val="24"/>
        </w:rPr>
        <w:t xml:space="preserve"> </w:t>
      </w:r>
      <w:proofErr w:type="spellStart"/>
      <w:r w:rsidRPr="00924659">
        <w:rPr>
          <w:b w:val="0"/>
          <w:szCs w:val="24"/>
        </w:rPr>
        <w:t>analoglarının</w:t>
      </w:r>
      <w:proofErr w:type="spellEnd"/>
      <w:r w:rsidRPr="00924659">
        <w:rPr>
          <w:b w:val="0"/>
          <w:szCs w:val="24"/>
        </w:rPr>
        <w:t xml:space="preserve"> (örn. </w:t>
      </w:r>
      <w:proofErr w:type="spellStart"/>
      <w:r w:rsidRPr="00924659">
        <w:rPr>
          <w:b w:val="0"/>
          <w:szCs w:val="24"/>
        </w:rPr>
        <w:t>lanreotid</w:t>
      </w:r>
      <w:proofErr w:type="spellEnd"/>
      <w:r w:rsidRPr="00924659">
        <w:rPr>
          <w:b w:val="0"/>
          <w:szCs w:val="24"/>
        </w:rPr>
        <w:t xml:space="preserve">, </w:t>
      </w:r>
      <w:proofErr w:type="spellStart"/>
      <w:r w:rsidRPr="00924659">
        <w:rPr>
          <w:b w:val="0"/>
          <w:szCs w:val="24"/>
        </w:rPr>
        <w:t>oktreotid</w:t>
      </w:r>
      <w:proofErr w:type="spellEnd"/>
      <w:r w:rsidRPr="00924659">
        <w:rPr>
          <w:b w:val="0"/>
          <w:szCs w:val="24"/>
        </w:rPr>
        <w:t xml:space="preserve">), </w:t>
      </w:r>
      <w:proofErr w:type="spellStart"/>
      <w:r w:rsidRPr="00924659">
        <w:rPr>
          <w:b w:val="0"/>
          <w:szCs w:val="24"/>
        </w:rPr>
        <w:t>rifampin</w:t>
      </w:r>
      <w:proofErr w:type="spellEnd"/>
      <w:r w:rsidRPr="00924659">
        <w:rPr>
          <w:b w:val="0"/>
          <w:szCs w:val="24"/>
        </w:rPr>
        <w:t xml:space="preserve">, </w:t>
      </w:r>
      <w:proofErr w:type="spellStart"/>
      <w:r w:rsidRPr="00924659">
        <w:rPr>
          <w:b w:val="0"/>
          <w:szCs w:val="24"/>
        </w:rPr>
        <w:t>fenitoin</w:t>
      </w:r>
      <w:proofErr w:type="spellEnd"/>
      <w:r w:rsidRPr="00924659">
        <w:rPr>
          <w:b w:val="0"/>
          <w:szCs w:val="24"/>
        </w:rPr>
        <w:t xml:space="preserve"> ve Sarı Kantaronun etkisiyle azalabilir.</w:t>
      </w:r>
    </w:p>
    <w:p w:rsidR="00A52D22" w:rsidRPr="00924659" w:rsidRDefault="00A52D22" w:rsidP="00123BD1">
      <w:pPr>
        <w:shd w:val="clear" w:color="auto" w:fill="FFFFFF"/>
        <w:spacing w:line="276" w:lineRule="auto"/>
        <w:ind w:right="14"/>
        <w:jc w:val="both"/>
        <w:rPr>
          <w:rFonts w:cs="Times New Roman"/>
          <w:b w:val="0"/>
          <w:spacing w:val="-1"/>
          <w:szCs w:val="24"/>
        </w:rPr>
      </w:pPr>
    </w:p>
    <w:p w:rsidR="00123BD1" w:rsidRPr="00924659" w:rsidRDefault="00123BD1" w:rsidP="00123BD1">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Bu ilaçlardan herhangi biri,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kullanmakta olan bir hastaya verileceği veya </w:t>
      </w:r>
      <w:proofErr w:type="spellStart"/>
      <w:r w:rsidRPr="00924659">
        <w:rPr>
          <w:rFonts w:cs="Times New Roman"/>
          <w:b w:val="0"/>
          <w:spacing w:val="-1"/>
          <w:szCs w:val="24"/>
        </w:rPr>
        <w:t>nateglinidle</w:t>
      </w:r>
      <w:proofErr w:type="spellEnd"/>
      <w:r w:rsidRPr="00924659">
        <w:rPr>
          <w:rFonts w:cs="Times New Roman"/>
          <w:b w:val="0"/>
          <w:spacing w:val="-1"/>
          <w:szCs w:val="24"/>
        </w:rPr>
        <w:t xml:space="preserve"> birlikte bu ilaçlardan herhangi birini kullanan bir hasta, söz konusu ilacı bırakacağı zaman; </w:t>
      </w:r>
      <w:proofErr w:type="spellStart"/>
      <w:r w:rsidRPr="00924659">
        <w:rPr>
          <w:rFonts w:cs="Times New Roman"/>
          <w:b w:val="0"/>
          <w:spacing w:val="-1"/>
          <w:szCs w:val="24"/>
        </w:rPr>
        <w:t>glisemi</w:t>
      </w:r>
      <w:proofErr w:type="spellEnd"/>
      <w:r w:rsidRPr="00924659">
        <w:rPr>
          <w:rFonts w:cs="Times New Roman"/>
          <w:b w:val="0"/>
          <w:spacing w:val="-1"/>
          <w:szCs w:val="24"/>
        </w:rPr>
        <w:t xml:space="preserve"> kontrolünde meydana gelebilecek değişiklikler nedeniyle hasta, yakın gözlem altında bulundurulmalıdır.</w:t>
      </w:r>
    </w:p>
    <w:p w:rsidR="00273627" w:rsidRPr="00924659" w:rsidRDefault="00273627" w:rsidP="00EB30C8">
      <w:pPr>
        <w:shd w:val="clear" w:color="auto" w:fill="FFFFFF"/>
        <w:spacing w:line="276" w:lineRule="auto"/>
        <w:ind w:right="14"/>
        <w:jc w:val="both"/>
        <w:rPr>
          <w:rFonts w:cs="Times New Roman"/>
          <w:b w:val="0"/>
          <w:spacing w:val="-1"/>
          <w:szCs w:val="24"/>
        </w:rPr>
      </w:pPr>
    </w:p>
    <w:p w:rsidR="00405D0D" w:rsidRPr="00924659" w:rsidRDefault="00405D0D" w:rsidP="00EB30C8">
      <w:pPr>
        <w:shd w:val="clear" w:color="auto" w:fill="FFFFFF"/>
        <w:spacing w:line="276" w:lineRule="auto"/>
        <w:jc w:val="both"/>
        <w:rPr>
          <w:rFonts w:cs="Times New Roman"/>
          <w:spacing w:val="-1"/>
          <w:szCs w:val="24"/>
        </w:rPr>
      </w:pPr>
      <w:r w:rsidRPr="00924659">
        <w:rPr>
          <w:rFonts w:cs="Times New Roman"/>
          <w:spacing w:val="-1"/>
          <w:szCs w:val="24"/>
        </w:rPr>
        <w:t>4.6.</w:t>
      </w:r>
      <w:r w:rsidR="00A214B7" w:rsidRPr="00924659">
        <w:rPr>
          <w:rFonts w:cs="Times New Roman"/>
          <w:spacing w:val="-1"/>
          <w:szCs w:val="24"/>
        </w:rPr>
        <w:t xml:space="preserve"> </w:t>
      </w:r>
      <w:r w:rsidRPr="00924659">
        <w:rPr>
          <w:rFonts w:cs="Times New Roman"/>
          <w:spacing w:val="-1"/>
          <w:szCs w:val="24"/>
        </w:rPr>
        <w:t xml:space="preserve">Gebelik ve </w:t>
      </w:r>
      <w:proofErr w:type="spellStart"/>
      <w:r w:rsidRPr="00924659">
        <w:rPr>
          <w:rFonts w:cs="Times New Roman"/>
          <w:spacing w:val="-1"/>
          <w:szCs w:val="24"/>
        </w:rPr>
        <w:t>Laktasyon</w:t>
      </w:r>
      <w:proofErr w:type="spellEnd"/>
    </w:p>
    <w:p w:rsidR="00405D0D" w:rsidRPr="00924659" w:rsidRDefault="00405D0D" w:rsidP="00EB30C8">
      <w:pPr>
        <w:shd w:val="clear" w:color="auto" w:fill="FFFFFF"/>
        <w:spacing w:line="276" w:lineRule="auto"/>
        <w:jc w:val="both"/>
        <w:rPr>
          <w:rFonts w:cs="Times New Roman"/>
          <w:spacing w:val="-1"/>
          <w:szCs w:val="24"/>
        </w:rPr>
      </w:pPr>
      <w:r w:rsidRPr="00924659">
        <w:rPr>
          <w:rFonts w:cs="Times New Roman"/>
          <w:spacing w:val="-1"/>
          <w:szCs w:val="24"/>
        </w:rPr>
        <w:t>Genel tavsiye</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Gebelik kategorisi </w:t>
      </w:r>
      <w:proofErr w:type="spellStart"/>
      <w:r w:rsidRPr="00924659">
        <w:rPr>
          <w:rFonts w:cs="Times New Roman"/>
          <w:b w:val="0"/>
          <w:spacing w:val="-1"/>
          <w:szCs w:val="24"/>
        </w:rPr>
        <w:t>C'dir</w:t>
      </w:r>
      <w:proofErr w:type="spellEnd"/>
      <w:r w:rsidRPr="00924659">
        <w:rPr>
          <w:rFonts w:cs="Times New Roman"/>
          <w:b w:val="0"/>
          <w:spacing w:val="-1"/>
          <w:szCs w:val="24"/>
        </w:rPr>
        <w:t>.</w:t>
      </w:r>
    </w:p>
    <w:p w:rsidR="00405D0D" w:rsidRPr="00924659" w:rsidRDefault="00405D0D" w:rsidP="00EB30C8">
      <w:pPr>
        <w:shd w:val="clear" w:color="auto" w:fill="FFFFFF"/>
        <w:spacing w:line="276" w:lineRule="auto"/>
        <w:jc w:val="both"/>
        <w:rPr>
          <w:rFonts w:cs="Times New Roman"/>
          <w:bCs/>
          <w:spacing w:val="-12"/>
          <w:szCs w:val="24"/>
        </w:rPr>
      </w:pPr>
      <w:r w:rsidRPr="00924659">
        <w:rPr>
          <w:rFonts w:cs="Times New Roman"/>
          <w:bCs/>
          <w:spacing w:val="-12"/>
          <w:szCs w:val="24"/>
        </w:rPr>
        <w:t>Çocuk doğurma potansiyeli bulunan kadınlar/Doğum kontrolü (</w:t>
      </w:r>
      <w:proofErr w:type="spellStart"/>
      <w:r w:rsidRPr="00924659">
        <w:rPr>
          <w:rFonts w:cs="Times New Roman"/>
          <w:bCs/>
          <w:spacing w:val="-12"/>
          <w:szCs w:val="24"/>
        </w:rPr>
        <w:t>Kontrasepsiyon</w:t>
      </w:r>
      <w:proofErr w:type="spellEnd"/>
      <w:r w:rsidRPr="00924659">
        <w:rPr>
          <w:rFonts w:cs="Times New Roman"/>
          <w:bCs/>
          <w:spacing w:val="-12"/>
          <w:szCs w:val="24"/>
        </w:rPr>
        <w:t>)</w:t>
      </w:r>
    </w:p>
    <w:p w:rsidR="00A52D22" w:rsidRPr="00924659" w:rsidRDefault="00E0389D" w:rsidP="00A52D22">
      <w:pPr>
        <w:shd w:val="clear" w:color="auto" w:fill="FFFFFF"/>
        <w:spacing w:line="276" w:lineRule="auto"/>
        <w:ind w:right="14"/>
        <w:jc w:val="both"/>
        <w:rPr>
          <w:b w:val="0"/>
          <w:szCs w:val="24"/>
        </w:rPr>
      </w:pPr>
      <w:r w:rsidRPr="00924659">
        <w:rPr>
          <w:rFonts w:cs="Times New Roman"/>
          <w:b w:val="0"/>
          <w:spacing w:val="-1"/>
          <w:szCs w:val="24"/>
        </w:rPr>
        <w:t>Çocuk do</w:t>
      </w:r>
      <w:r w:rsidR="00A52D22" w:rsidRPr="00924659">
        <w:rPr>
          <w:rFonts w:cs="Times New Roman"/>
          <w:b w:val="0"/>
          <w:spacing w:val="-1"/>
          <w:szCs w:val="24"/>
        </w:rPr>
        <w:t xml:space="preserve">ğurma potansiyeli olan kadınlarda </w:t>
      </w:r>
      <w:r w:rsidRPr="00924659">
        <w:rPr>
          <w:rFonts w:cs="Times New Roman"/>
          <w:b w:val="0"/>
          <w:spacing w:val="-1"/>
          <w:szCs w:val="24"/>
        </w:rPr>
        <w:t xml:space="preserve">etkili </w:t>
      </w:r>
      <w:r w:rsidR="00A52D22" w:rsidRPr="00924659">
        <w:rPr>
          <w:rFonts w:cs="Times New Roman"/>
          <w:b w:val="0"/>
          <w:spacing w:val="-1"/>
          <w:szCs w:val="24"/>
        </w:rPr>
        <w:t>bir doğum kontrol yöntemi</w:t>
      </w:r>
      <w:r w:rsidRPr="00924659">
        <w:rPr>
          <w:rFonts w:cs="Times New Roman"/>
          <w:b w:val="0"/>
          <w:spacing w:val="-1"/>
          <w:szCs w:val="24"/>
        </w:rPr>
        <w:t xml:space="preserve"> </w:t>
      </w:r>
      <w:r w:rsidR="00A52D22" w:rsidRPr="00924659">
        <w:rPr>
          <w:b w:val="0"/>
          <w:szCs w:val="24"/>
        </w:rPr>
        <w:t xml:space="preserve">kullanılması tavsiye edilir. </w:t>
      </w:r>
    </w:p>
    <w:p w:rsidR="00405D0D" w:rsidRPr="00924659" w:rsidRDefault="00405D0D" w:rsidP="00A52D22">
      <w:pPr>
        <w:shd w:val="clear" w:color="auto" w:fill="FFFFFF"/>
        <w:spacing w:line="276" w:lineRule="auto"/>
        <w:ind w:right="14"/>
        <w:jc w:val="both"/>
        <w:rPr>
          <w:rFonts w:cs="Times New Roman"/>
          <w:spacing w:val="-1"/>
          <w:szCs w:val="24"/>
        </w:rPr>
      </w:pPr>
      <w:r w:rsidRPr="00924659">
        <w:rPr>
          <w:rFonts w:cs="Times New Roman"/>
          <w:spacing w:val="-1"/>
          <w:szCs w:val="24"/>
        </w:rPr>
        <w:t>Gebelik dönemi</w:t>
      </w:r>
    </w:p>
    <w:p w:rsidR="002C02C5" w:rsidRPr="00924659" w:rsidRDefault="002C02C5" w:rsidP="00EB30C8">
      <w:pPr>
        <w:shd w:val="clear" w:color="auto" w:fill="FFFFFF"/>
        <w:spacing w:line="276" w:lineRule="auto"/>
        <w:ind w:right="14"/>
        <w:jc w:val="both"/>
        <w:rPr>
          <w:rFonts w:cs="Times New Roman"/>
          <w:b w:val="0"/>
          <w:spacing w:val="-1"/>
          <w:szCs w:val="24"/>
        </w:rPr>
      </w:pPr>
      <w:r w:rsidRPr="00924659">
        <w:rPr>
          <w:b w:val="0"/>
          <w:szCs w:val="24"/>
        </w:rPr>
        <w:t xml:space="preserve">Hayvanlar üzerinde yapılan çalışmalarda gelişimsel </w:t>
      </w:r>
      <w:proofErr w:type="spellStart"/>
      <w:r w:rsidRPr="00924659">
        <w:rPr>
          <w:b w:val="0"/>
          <w:szCs w:val="24"/>
        </w:rPr>
        <w:t>toksisite</w:t>
      </w:r>
      <w:proofErr w:type="spellEnd"/>
      <w:r w:rsidRPr="00924659">
        <w:rPr>
          <w:b w:val="0"/>
          <w:szCs w:val="24"/>
        </w:rPr>
        <w:t xml:space="preserve"> gösterilmiştir.</w:t>
      </w:r>
    </w:p>
    <w:p w:rsidR="00E0389D" w:rsidRPr="00924659" w:rsidRDefault="00E0389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Hayvanlar üzerinde yapılan çalışmalar, gebelik /ve-veya/ </w:t>
      </w:r>
      <w:proofErr w:type="spellStart"/>
      <w:r w:rsidRPr="00924659">
        <w:rPr>
          <w:rFonts w:cs="Times New Roman"/>
          <w:b w:val="0"/>
          <w:spacing w:val="-1"/>
          <w:szCs w:val="24"/>
        </w:rPr>
        <w:t>embriyonal</w:t>
      </w:r>
      <w:proofErr w:type="spellEnd"/>
      <w:r w:rsidRPr="00924659">
        <w:rPr>
          <w:rFonts w:cs="Times New Roman"/>
          <w:b w:val="0"/>
          <w:spacing w:val="-1"/>
          <w:szCs w:val="24"/>
        </w:rPr>
        <w:t>/</w:t>
      </w:r>
      <w:proofErr w:type="spellStart"/>
      <w:r w:rsidRPr="00924659">
        <w:rPr>
          <w:rFonts w:cs="Times New Roman"/>
          <w:b w:val="0"/>
          <w:spacing w:val="-1"/>
          <w:szCs w:val="24"/>
        </w:rPr>
        <w:t>fetal</w:t>
      </w:r>
      <w:proofErr w:type="spellEnd"/>
      <w:r w:rsidRPr="00924659">
        <w:rPr>
          <w:rFonts w:cs="Times New Roman"/>
          <w:b w:val="0"/>
          <w:spacing w:val="-1"/>
          <w:szCs w:val="24"/>
        </w:rPr>
        <w:t xml:space="preserve"> gelişim /ve-veya/ doğum /ve-veya/ doğum sonrası gelişim üzerindeki etkiler bakımından yetersizdir (bkz. kısım </w:t>
      </w:r>
      <w:r w:rsidRPr="00924659">
        <w:rPr>
          <w:rFonts w:cs="Times New Roman"/>
          <w:b w:val="0"/>
          <w:spacing w:val="-1"/>
          <w:szCs w:val="24"/>
        </w:rPr>
        <w:lastRenderedPageBreak/>
        <w:t>5.3). İnsanlara yönelik potansiyel risk bilinmemektedir.</w:t>
      </w:r>
    </w:p>
    <w:p w:rsidR="00E0389D" w:rsidRPr="00924659" w:rsidRDefault="00E0389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İNGLEX gerekli olmadıkça gebelik döneminde kullanılmamalıdır.</w:t>
      </w:r>
    </w:p>
    <w:p w:rsidR="00351FF9" w:rsidRPr="00924659" w:rsidRDefault="002C02C5" w:rsidP="00351FF9">
      <w:pPr>
        <w:pStyle w:val="Default"/>
        <w:jc w:val="both"/>
        <w:rPr>
          <w:color w:val="auto"/>
        </w:rPr>
      </w:pPr>
      <w:r w:rsidRPr="00924659">
        <w:rPr>
          <w:color w:val="auto"/>
          <w:spacing w:val="-1"/>
        </w:rPr>
        <w:t xml:space="preserve">Sıçanlarda </w:t>
      </w:r>
      <w:proofErr w:type="spellStart"/>
      <w:r w:rsidR="00405D0D" w:rsidRPr="00924659">
        <w:rPr>
          <w:color w:val="auto"/>
          <w:spacing w:val="-1"/>
        </w:rPr>
        <w:t>nateglinid</w:t>
      </w:r>
      <w:proofErr w:type="spellEnd"/>
      <w:r w:rsidR="00405D0D" w:rsidRPr="00924659">
        <w:rPr>
          <w:color w:val="auto"/>
          <w:spacing w:val="-1"/>
        </w:rPr>
        <w:t xml:space="preserve"> ile </w:t>
      </w:r>
      <w:proofErr w:type="spellStart"/>
      <w:r w:rsidR="00405D0D" w:rsidRPr="00924659">
        <w:rPr>
          <w:color w:val="auto"/>
          <w:spacing w:val="-1"/>
        </w:rPr>
        <w:t>teratojenik</w:t>
      </w:r>
      <w:proofErr w:type="spellEnd"/>
      <w:r w:rsidR="00405D0D" w:rsidRPr="00924659">
        <w:rPr>
          <w:color w:val="auto"/>
          <w:spacing w:val="-1"/>
        </w:rPr>
        <w:t xml:space="preserve"> etki gözlenmemiştir. </w:t>
      </w:r>
      <w:r w:rsidR="00351FF9" w:rsidRPr="00924659">
        <w:rPr>
          <w:color w:val="auto"/>
        </w:rPr>
        <w:t xml:space="preserve">Tavşanlarda </w:t>
      </w:r>
      <w:proofErr w:type="spellStart"/>
      <w:r w:rsidR="00351FF9" w:rsidRPr="00924659">
        <w:rPr>
          <w:color w:val="auto"/>
        </w:rPr>
        <w:t>embriyonik</w:t>
      </w:r>
      <w:proofErr w:type="spellEnd"/>
      <w:r w:rsidR="00351FF9" w:rsidRPr="00924659">
        <w:rPr>
          <w:color w:val="auto"/>
        </w:rPr>
        <w:t xml:space="preserve"> gelişim olumsuz etkilenmiştir ve safra kesesi </w:t>
      </w:r>
      <w:proofErr w:type="spellStart"/>
      <w:r w:rsidR="00351FF9" w:rsidRPr="00924659">
        <w:rPr>
          <w:color w:val="auto"/>
        </w:rPr>
        <w:t>agenezisi</w:t>
      </w:r>
      <w:proofErr w:type="spellEnd"/>
      <w:r w:rsidR="00351FF9" w:rsidRPr="00924659">
        <w:rPr>
          <w:color w:val="auto"/>
        </w:rPr>
        <w:t xml:space="preserve"> ve küçük safra kesesinin </w:t>
      </w:r>
      <w:proofErr w:type="spellStart"/>
      <w:r w:rsidR="00351FF9" w:rsidRPr="00924659">
        <w:rPr>
          <w:color w:val="auto"/>
        </w:rPr>
        <w:t>insidansı</w:t>
      </w:r>
      <w:proofErr w:type="spellEnd"/>
      <w:r w:rsidR="00351FF9" w:rsidRPr="00924659">
        <w:rPr>
          <w:color w:val="auto"/>
        </w:rPr>
        <w:t xml:space="preserve"> yüksek dozlarda artmışken, </w:t>
      </w:r>
      <w:proofErr w:type="spellStart"/>
      <w:r w:rsidR="00351FF9" w:rsidRPr="00924659">
        <w:rPr>
          <w:color w:val="auto"/>
        </w:rPr>
        <w:t>nateglinidin</w:t>
      </w:r>
      <w:proofErr w:type="spellEnd"/>
      <w:r w:rsidR="00351FF9" w:rsidRPr="00924659">
        <w:rPr>
          <w:color w:val="auto"/>
        </w:rPr>
        <w:t xml:space="preserve"> insandaki maksimum </w:t>
      </w:r>
      <w:proofErr w:type="spellStart"/>
      <w:r w:rsidR="00351FF9" w:rsidRPr="00924659">
        <w:rPr>
          <w:color w:val="auto"/>
        </w:rPr>
        <w:t>terapötik</w:t>
      </w:r>
      <w:proofErr w:type="spellEnd"/>
      <w:r w:rsidR="00351FF9" w:rsidRPr="00924659">
        <w:rPr>
          <w:color w:val="auto"/>
        </w:rPr>
        <w:t xml:space="preserve"> </w:t>
      </w:r>
      <w:proofErr w:type="spellStart"/>
      <w:r w:rsidR="00351FF9" w:rsidRPr="00924659">
        <w:rPr>
          <w:color w:val="auto"/>
        </w:rPr>
        <w:t>maruziyetinin</w:t>
      </w:r>
      <w:proofErr w:type="spellEnd"/>
      <w:r w:rsidR="00351FF9" w:rsidRPr="00924659">
        <w:rPr>
          <w:color w:val="auto"/>
        </w:rPr>
        <w:t xml:space="preserve"> 12 katında bu etki görülmemiştir (bkz bölüm 5.3). </w:t>
      </w:r>
    </w:p>
    <w:p w:rsidR="00351FF9" w:rsidRPr="00924659" w:rsidRDefault="00351FF9" w:rsidP="00351FF9">
      <w:pPr>
        <w:shd w:val="clear" w:color="auto" w:fill="FFFFFF"/>
        <w:spacing w:line="276" w:lineRule="auto"/>
        <w:ind w:right="14"/>
        <w:jc w:val="both"/>
        <w:rPr>
          <w:rFonts w:cs="Times New Roman"/>
          <w:b w:val="0"/>
          <w:spacing w:val="-1"/>
          <w:szCs w:val="24"/>
        </w:rPr>
      </w:pPr>
      <w:r w:rsidRPr="00924659">
        <w:rPr>
          <w:b w:val="0"/>
          <w:szCs w:val="24"/>
        </w:rPr>
        <w:t>Sıçanlardaki çalışmalar 1000 mg/</w:t>
      </w:r>
      <w:proofErr w:type="spellStart"/>
      <w:r w:rsidRPr="00924659">
        <w:rPr>
          <w:b w:val="0"/>
          <w:szCs w:val="24"/>
        </w:rPr>
        <w:t>kg’a</w:t>
      </w:r>
      <w:proofErr w:type="spellEnd"/>
      <w:r w:rsidRPr="00924659">
        <w:rPr>
          <w:b w:val="0"/>
          <w:szCs w:val="24"/>
        </w:rPr>
        <w:t xml:space="preserve"> (insanlarda önerilen, günde üç kez öğünlerden önce alınan 120 </w:t>
      </w:r>
      <w:proofErr w:type="spellStart"/>
      <w:r w:rsidRPr="00924659">
        <w:rPr>
          <w:b w:val="0"/>
          <w:szCs w:val="24"/>
        </w:rPr>
        <w:t>mg’lık</w:t>
      </w:r>
      <w:proofErr w:type="spellEnd"/>
      <w:r w:rsidRPr="00924659">
        <w:rPr>
          <w:b w:val="0"/>
          <w:szCs w:val="24"/>
        </w:rPr>
        <w:t xml:space="preserve"> maksimum </w:t>
      </w:r>
      <w:proofErr w:type="spellStart"/>
      <w:r w:rsidRPr="00924659">
        <w:rPr>
          <w:b w:val="0"/>
          <w:szCs w:val="24"/>
        </w:rPr>
        <w:t>terapötik</w:t>
      </w:r>
      <w:proofErr w:type="spellEnd"/>
      <w:r w:rsidRPr="00924659">
        <w:rPr>
          <w:b w:val="0"/>
          <w:szCs w:val="24"/>
        </w:rPr>
        <w:t xml:space="preserve"> dozun yaklaşık 60 katı) kadarki dozlarda doğum üzerinde herhangi bir etki göstermemiştir. </w:t>
      </w:r>
      <w:proofErr w:type="spellStart"/>
      <w:r w:rsidRPr="00924659">
        <w:rPr>
          <w:b w:val="0"/>
          <w:szCs w:val="24"/>
        </w:rPr>
        <w:t>Nateglinidin</w:t>
      </w:r>
      <w:proofErr w:type="spellEnd"/>
      <w:r w:rsidRPr="00924659">
        <w:rPr>
          <w:b w:val="0"/>
          <w:szCs w:val="24"/>
        </w:rPr>
        <w:t xml:space="preserve"> insanlarda gebelik ve doğum üzerindeki etkisi bilinmemektedir.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Gebe kadınlarda bu konuda herhangi bir </w:t>
      </w:r>
      <w:r w:rsidR="00351FF9" w:rsidRPr="00924659">
        <w:rPr>
          <w:rFonts w:cs="Times New Roman"/>
          <w:b w:val="0"/>
          <w:spacing w:val="-1"/>
          <w:szCs w:val="24"/>
        </w:rPr>
        <w:t>deneyim bulunmadığın</w:t>
      </w:r>
      <w:r w:rsidRPr="00924659">
        <w:rPr>
          <w:rFonts w:cs="Times New Roman"/>
          <w:b w:val="0"/>
          <w:spacing w:val="-1"/>
          <w:szCs w:val="24"/>
        </w:rPr>
        <w:t xml:space="preserve">dan, </w:t>
      </w:r>
      <w:proofErr w:type="spellStart"/>
      <w:r w:rsidR="003D10D8" w:rsidRPr="00924659">
        <w:rPr>
          <w:rFonts w:cs="Times New Roman"/>
          <w:b w:val="0"/>
          <w:spacing w:val="-1"/>
          <w:szCs w:val="24"/>
        </w:rPr>
        <w:t>İNGLEX</w:t>
      </w:r>
      <w:r w:rsidR="00D47FCD" w:rsidRPr="00924659">
        <w:rPr>
          <w:rFonts w:cs="Times New Roman"/>
          <w:b w:val="0"/>
          <w:spacing w:val="-1"/>
          <w:szCs w:val="24"/>
        </w:rPr>
        <w:t>’in</w:t>
      </w:r>
      <w:proofErr w:type="spellEnd"/>
      <w:r w:rsidRPr="00924659">
        <w:rPr>
          <w:rFonts w:cs="Times New Roman"/>
          <w:b w:val="0"/>
          <w:spacing w:val="-1"/>
          <w:szCs w:val="24"/>
        </w:rPr>
        <w:t xml:space="preserve"> gebe kadınlardaki ilaç emniyeti değerlendirilemez. Diğer oral </w:t>
      </w:r>
      <w:proofErr w:type="spellStart"/>
      <w:r w:rsidRPr="00924659">
        <w:rPr>
          <w:rFonts w:cs="Times New Roman"/>
          <w:b w:val="0"/>
          <w:spacing w:val="-1"/>
          <w:szCs w:val="24"/>
        </w:rPr>
        <w:t>antidiyabetik</w:t>
      </w:r>
      <w:proofErr w:type="spellEnd"/>
      <w:r w:rsidRPr="00924659">
        <w:rPr>
          <w:rFonts w:cs="Times New Roman"/>
          <w:b w:val="0"/>
          <w:spacing w:val="-1"/>
          <w:szCs w:val="24"/>
        </w:rPr>
        <w:t xml:space="preserve"> ilaçlar gibi </w:t>
      </w:r>
      <w:r w:rsidR="003D10D8" w:rsidRPr="00924659">
        <w:rPr>
          <w:rFonts w:cs="Times New Roman"/>
          <w:b w:val="0"/>
          <w:spacing w:val="-1"/>
          <w:szCs w:val="24"/>
        </w:rPr>
        <w:t>İNGLEX</w:t>
      </w:r>
      <w:r w:rsidRPr="00924659">
        <w:rPr>
          <w:rFonts w:cs="Times New Roman"/>
          <w:b w:val="0"/>
          <w:spacing w:val="-1"/>
          <w:szCs w:val="24"/>
        </w:rPr>
        <w:t xml:space="preserve"> de, gebelik sırasında kullanılması önerilmeyen ilaçlardandır.</w:t>
      </w:r>
    </w:p>
    <w:p w:rsidR="00405D0D" w:rsidRPr="00924659" w:rsidRDefault="00405D0D" w:rsidP="00EB30C8">
      <w:pPr>
        <w:shd w:val="clear" w:color="auto" w:fill="FFFFFF"/>
        <w:spacing w:line="276" w:lineRule="auto"/>
        <w:jc w:val="both"/>
        <w:rPr>
          <w:rFonts w:cs="Times New Roman"/>
          <w:spacing w:val="-1"/>
          <w:szCs w:val="24"/>
        </w:rPr>
      </w:pPr>
      <w:proofErr w:type="spellStart"/>
      <w:r w:rsidRPr="00924659">
        <w:rPr>
          <w:rFonts w:cs="Times New Roman"/>
          <w:spacing w:val="-1"/>
          <w:szCs w:val="24"/>
        </w:rPr>
        <w:t>Laktasyon</w:t>
      </w:r>
      <w:proofErr w:type="spellEnd"/>
      <w:r w:rsidRPr="00924659">
        <w:rPr>
          <w:rFonts w:cs="Times New Roman"/>
          <w:spacing w:val="-1"/>
          <w:szCs w:val="24"/>
        </w:rPr>
        <w:t xml:space="preserve"> dönemi</w:t>
      </w:r>
    </w:p>
    <w:p w:rsidR="006072CA" w:rsidRPr="00924659" w:rsidRDefault="00A214B7"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Nategli</w:t>
      </w:r>
      <w:r w:rsidR="00206A9C" w:rsidRPr="00924659">
        <w:rPr>
          <w:rFonts w:cs="Times New Roman"/>
          <w:b w:val="0"/>
          <w:spacing w:val="-1"/>
          <w:szCs w:val="24"/>
        </w:rPr>
        <w:t>nidin</w:t>
      </w:r>
      <w:proofErr w:type="spellEnd"/>
      <w:r w:rsidR="00206A9C" w:rsidRPr="00924659">
        <w:rPr>
          <w:rFonts w:cs="Times New Roman"/>
          <w:b w:val="0"/>
          <w:spacing w:val="-1"/>
          <w:szCs w:val="24"/>
        </w:rPr>
        <w:t xml:space="preserve"> insan sütüyle atılı</w:t>
      </w:r>
      <w:r w:rsidR="00405D0D" w:rsidRPr="00924659">
        <w:rPr>
          <w:rFonts w:cs="Times New Roman"/>
          <w:b w:val="0"/>
          <w:spacing w:val="-1"/>
          <w:szCs w:val="24"/>
        </w:rPr>
        <w:t xml:space="preserve">p atılmadığı bilinmemektedir. Hayvanlar üzerinde yapılan çalışmalar, </w:t>
      </w:r>
      <w:proofErr w:type="spellStart"/>
      <w:r w:rsidR="00405D0D" w:rsidRPr="00924659">
        <w:rPr>
          <w:rFonts w:cs="Times New Roman"/>
          <w:b w:val="0"/>
          <w:spacing w:val="-1"/>
          <w:szCs w:val="24"/>
        </w:rPr>
        <w:t>nateglinidin</w:t>
      </w:r>
      <w:proofErr w:type="spellEnd"/>
      <w:r w:rsidR="00405D0D" w:rsidRPr="00924659">
        <w:rPr>
          <w:rFonts w:cs="Times New Roman"/>
          <w:b w:val="0"/>
          <w:spacing w:val="-1"/>
          <w:szCs w:val="24"/>
        </w:rPr>
        <w:t xml:space="preserve"> sütle atıldığını göstermektedir. Emzirmenin durdurulup durdurulmayacağ</w:t>
      </w:r>
      <w:r w:rsidR="00206A9C" w:rsidRPr="00924659">
        <w:rPr>
          <w:rFonts w:cs="Times New Roman"/>
          <w:b w:val="0"/>
          <w:spacing w:val="-1"/>
          <w:szCs w:val="24"/>
        </w:rPr>
        <w:t>ın</w:t>
      </w:r>
      <w:r w:rsidR="00405D0D" w:rsidRPr="00924659">
        <w:rPr>
          <w:rFonts w:cs="Times New Roman"/>
          <w:b w:val="0"/>
          <w:spacing w:val="-1"/>
          <w:szCs w:val="24"/>
        </w:rPr>
        <w:t xml:space="preserve">a ya da </w:t>
      </w:r>
      <w:r w:rsidR="003D10D8" w:rsidRPr="00924659">
        <w:rPr>
          <w:rFonts w:cs="Times New Roman"/>
          <w:b w:val="0"/>
          <w:spacing w:val="-1"/>
          <w:szCs w:val="24"/>
        </w:rPr>
        <w:t>İNGLEX</w:t>
      </w:r>
      <w:r w:rsidR="00405D0D" w:rsidRPr="00924659">
        <w:rPr>
          <w:rFonts w:cs="Times New Roman"/>
          <w:b w:val="0"/>
          <w:spacing w:val="-1"/>
          <w:szCs w:val="24"/>
        </w:rPr>
        <w:t xml:space="preserve"> tedavisinin durdurulup durdurulmayacağına/tedaviden kaçınılıp kaçı</w:t>
      </w:r>
      <w:r w:rsidR="00206A9C" w:rsidRPr="00924659">
        <w:rPr>
          <w:rFonts w:cs="Times New Roman"/>
          <w:b w:val="0"/>
          <w:spacing w:val="-1"/>
          <w:szCs w:val="24"/>
        </w:rPr>
        <w:t>nı</w:t>
      </w:r>
      <w:r w:rsidR="00405D0D" w:rsidRPr="00924659">
        <w:rPr>
          <w:rFonts w:cs="Times New Roman"/>
          <w:b w:val="0"/>
          <w:spacing w:val="-1"/>
          <w:szCs w:val="24"/>
        </w:rPr>
        <w:t xml:space="preserve">lmayacağına ilişkin karar verilirken, emzirmenin çocuk açısından faydası ve </w:t>
      </w:r>
      <w:bookmarkStart w:id="0" w:name="OLE_LINK1"/>
      <w:bookmarkStart w:id="1" w:name="OLE_LINK2"/>
      <w:r w:rsidR="003D10D8" w:rsidRPr="00924659">
        <w:rPr>
          <w:rFonts w:cs="Times New Roman"/>
          <w:b w:val="0"/>
          <w:spacing w:val="-1"/>
          <w:szCs w:val="24"/>
        </w:rPr>
        <w:t>İNGLEX</w:t>
      </w:r>
      <w:bookmarkEnd w:id="0"/>
      <w:bookmarkEnd w:id="1"/>
      <w:r w:rsidR="00405D0D" w:rsidRPr="00924659">
        <w:rPr>
          <w:rFonts w:cs="Times New Roman"/>
          <w:b w:val="0"/>
          <w:spacing w:val="-1"/>
          <w:szCs w:val="24"/>
        </w:rPr>
        <w:t xml:space="preserve"> tedavisinin emziren anne açısından faydası dikkate alınmalıdır.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İnsanlarda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anne sütü ile atılıp atılmadığı bilinmediğinden, anne sütüyle beslenen bebeklerde hipoglisemi gelişmesi mümkündür. Bu nedenle de, bebeğini emziren anneler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kullanmamalıdır.</w:t>
      </w:r>
    </w:p>
    <w:p w:rsidR="00405D0D" w:rsidRPr="00924659" w:rsidRDefault="00405D0D" w:rsidP="00EB30C8">
      <w:pPr>
        <w:shd w:val="clear" w:color="auto" w:fill="FFFFFF"/>
        <w:spacing w:line="276" w:lineRule="auto"/>
        <w:jc w:val="both"/>
        <w:rPr>
          <w:rFonts w:cs="Times New Roman"/>
          <w:spacing w:val="-4"/>
          <w:szCs w:val="24"/>
        </w:rPr>
      </w:pPr>
      <w:r w:rsidRPr="00924659">
        <w:rPr>
          <w:rFonts w:cs="Times New Roman"/>
          <w:spacing w:val="-4"/>
          <w:szCs w:val="24"/>
        </w:rPr>
        <w:t>Üreme yeteneği /</w:t>
      </w:r>
      <w:proofErr w:type="spellStart"/>
      <w:r w:rsidRPr="00924659">
        <w:rPr>
          <w:rFonts w:cs="Times New Roman"/>
          <w:spacing w:val="-4"/>
          <w:szCs w:val="24"/>
        </w:rPr>
        <w:t>Fertilite</w:t>
      </w:r>
      <w:proofErr w:type="spellEnd"/>
    </w:p>
    <w:p w:rsidR="007A4EE4"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Klinik öncesi veriler, üreme </w:t>
      </w:r>
      <w:proofErr w:type="spellStart"/>
      <w:r w:rsidRPr="00924659">
        <w:rPr>
          <w:rFonts w:cs="Times New Roman"/>
          <w:b w:val="0"/>
          <w:spacing w:val="-1"/>
          <w:szCs w:val="24"/>
        </w:rPr>
        <w:t>toksisitesi</w:t>
      </w:r>
      <w:proofErr w:type="spellEnd"/>
      <w:r w:rsidRPr="00924659">
        <w:rPr>
          <w:rFonts w:cs="Times New Roman"/>
          <w:b w:val="0"/>
          <w:spacing w:val="-1"/>
          <w:szCs w:val="24"/>
        </w:rPr>
        <w:t xml:space="preserve"> modellerinde elde edilen sonuçlara göre insanlar için özel bir tehlikenin söz konusu olmadığını göstermiştir(bkz bölüm 5.3).</w:t>
      </w:r>
    </w:p>
    <w:p w:rsidR="00351FF9" w:rsidRPr="00924659" w:rsidRDefault="00351FF9" w:rsidP="00EB30C8">
      <w:pPr>
        <w:shd w:val="clear" w:color="auto" w:fill="FFFFFF"/>
        <w:spacing w:line="276" w:lineRule="auto"/>
        <w:ind w:right="14"/>
        <w:jc w:val="both"/>
        <w:rPr>
          <w:rFonts w:cs="Times New Roman"/>
          <w:b w:val="0"/>
          <w:spacing w:val="-1"/>
          <w:szCs w:val="24"/>
        </w:rPr>
      </w:pPr>
    </w:p>
    <w:p w:rsidR="00405D0D" w:rsidRPr="00924659" w:rsidRDefault="00405D0D" w:rsidP="00EB30C8">
      <w:pPr>
        <w:shd w:val="clear" w:color="auto" w:fill="FFFFFF"/>
        <w:spacing w:line="276" w:lineRule="auto"/>
        <w:ind w:right="14"/>
        <w:jc w:val="both"/>
        <w:rPr>
          <w:rFonts w:cs="Times New Roman"/>
          <w:spacing w:val="-4"/>
          <w:szCs w:val="24"/>
        </w:rPr>
      </w:pPr>
      <w:r w:rsidRPr="00924659">
        <w:rPr>
          <w:rFonts w:cs="Times New Roman"/>
          <w:spacing w:val="-4"/>
          <w:szCs w:val="24"/>
        </w:rPr>
        <w:t>4.7.</w:t>
      </w:r>
      <w:r w:rsidRPr="00924659">
        <w:rPr>
          <w:rFonts w:cs="Times New Roman"/>
          <w:spacing w:val="-4"/>
          <w:szCs w:val="24"/>
        </w:rPr>
        <w:tab/>
        <w:t xml:space="preserve">Araç ve </w:t>
      </w:r>
      <w:r w:rsidR="00206A9C" w:rsidRPr="00924659">
        <w:rPr>
          <w:rFonts w:cs="Times New Roman"/>
          <w:spacing w:val="-4"/>
          <w:szCs w:val="24"/>
        </w:rPr>
        <w:t>makine</w:t>
      </w:r>
      <w:r w:rsidRPr="00924659">
        <w:rPr>
          <w:rFonts w:cs="Times New Roman"/>
          <w:spacing w:val="-4"/>
          <w:szCs w:val="24"/>
        </w:rPr>
        <w:t xml:space="preserve"> kullanımı üzerindeki etkiler</w:t>
      </w:r>
    </w:p>
    <w:p w:rsidR="00AB5541" w:rsidRPr="00924659" w:rsidRDefault="00F06687" w:rsidP="00EB30C8">
      <w:pPr>
        <w:shd w:val="clear" w:color="auto" w:fill="FFFFFF"/>
        <w:spacing w:line="276" w:lineRule="auto"/>
        <w:ind w:right="24"/>
        <w:jc w:val="both"/>
        <w:rPr>
          <w:b w:val="0"/>
          <w:szCs w:val="24"/>
        </w:rPr>
      </w:pPr>
      <w:r w:rsidRPr="00924659">
        <w:rPr>
          <w:rFonts w:cs="Times New Roman"/>
          <w:b w:val="0"/>
          <w:spacing w:val="-1"/>
          <w:szCs w:val="24"/>
        </w:rPr>
        <w:t xml:space="preserve">İNGLEX </w:t>
      </w:r>
      <w:r w:rsidRPr="00924659">
        <w:rPr>
          <w:b w:val="0"/>
          <w:szCs w:val="24"/>
        </w:rPr>
        <w:t>’in araç ve makine kullanma becerisi üzerindeki etkisi üzerine çalışılmamıştır. Hastalara, araç veya makine kullanırken hipoglisemi gelişmemesi için gerekli önlemleri almaları önerilmelidir. Bu durum özellikle hipoglisemi belirtilerinin yeterince veya hiç farkında olmayan ya da sıkça hipoglisemi epizotları yaşayan hastalar için önemlidir. Bu durumlarda araç kullanımının uygunluğu değerlendirilmelidir.</w:t>
      </w:r>
    </w:p>
    <w:p w:rsidR="00F06687" w:rsidRPr="00924659" w:rsidRDefault="00F06687" w:rsidP="00EB30C8">
      <w:pPr>
        <w:shd w:val="clear" w:color="auto" w:fill="FFFFFF"/>
        <w:spacing w:line="276" w:lineRule="auto"/>
        <w:ind w:right="24"/>
        <w:jc w:val="both"/>
        <w:rPr>
          <w:rFonts w:cs="Times New Roman"/>
          <w:b w:val="0"/>
          <w:szCs w:val="24"/>
        </w:rPr>
      </w:pPr>
    </w:p>
    <w:p w:rsidR="00405D0D" w:rsidRPr="00924659" w:rsidRDefault="00405D0D" w:rsidP="00EB30C8">
      <w:pPr>
        <w:shd w:val="clear" w:color="auto" w:fill="FFFFFF"/>
        <w:tabs>
          <w:tab w:val="left" w:pos="499"/>
        </w:tabs>
        <w:spacing w:line="276" w:lineRule="auto"/>
        <w:jc w:val="both"/>
        <w:rPr>
          <w:rFonts w:cs="Times New Roman"/>
          <w:spacing w:val="-4"/>
          <w:szCs w:val="24"/>
        </w:rPr>
      </w:pPr>
      <w:r w:rsidRPr="00924659">
        <w:rPr>
          <w:rFonts w:cs="Times New Roman"/>
          <w:spacing w:val="-4"/>
          <w:szCs w:val="24"/>
        </w:rPr>
        <w:t>4.8.</w:t>
      </w:r>
      <w:r w:rsidRPr="00924659">
        <w:rPr>
          <w:rFonts w:cs="Times New Roman"/>
          <w:spacing w:val="-4"/>
          <w:szCs w:val="24"/>
        </w:rPr>
        <w:tab/>
        <w:t>İstenmeyen etkiler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Klinik çalışmalarda listelenen </w:t>
      </w:r>
      <w:proofErr w:type="spellStart"/>
      <w:r w:rsidRPr="00924659">
        <w:rPr>
          <w:rFonts w:cs="Times New Roman"/>
          <w:b w:val="0"/>
          <w:spacing w:val="-1"/>
          <w:szCs w:val="24"/>
        </w:rPr>
        <w:t>advers</w:t>
      </w:r>
      <w:proofErr w:type="spellEnd"/>
      <w:r w:rsidRPr="00924659">
        <w:rPr>
          <w:rFonts w:cs="Times New Roman"/>
          <w:b w:val="0"/>
          <w:spacing w:val="-1"/>
          <w:szCs w:val="24"/>
        </w:rPr>
        <w:t xml:space="preserve"> reaksiyonlar bildirilmiştir.</w:t>
      </w:r>
    </w:p>
    <w:p w:rsidR="00AB5541" w:rsidRPr="00924659" w:rsidRDefault="00592705" w:rsidP="00EB30C8">
      <w:pPr>
        <w:shd w:val="clear" w:color="auto" w:fill="FFFFFF"/>
        <w:spacing w:line="276" w:lineRule="auto"/>
        <w:ind w:right="14"/>
        <w:jc w:val="both"/>
        <w:rPr>
          <w:rFonts w:cs="Times New Roman"/>
          <w:b w:val="0"/>
          <w:spacing w:val="-1"/>
          <w:szCs w:val="24"/>
        </w:rPr>
      </w:pPr>
      <w:proofErr w:type="spellStart"/>
      <w:r w:rsidRPr="00924659">
        <w:rPr>
          <w:b w:val="0"/>
          <w:szCs w:val="24"/>
        </w:rPr>
        <w:t>Advers</w:t>
      </w:r>
      <w:proofErr w:type="spellEnd"/>
      <w:r w:rsidRPr="00924659">
        <w:rPr>
          <w:b w:val="0"/>
          <w:szCs w:val="24"/>
        </w:rPr>
        <w:t xml:space="preserve"> ilaç reaksiyonları sıklık değerine göre aşağıdaki gibi listelenmiştir: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Çok yaygın (</w:t>
      </w:r>
      <w:r w:rsidR="00AB5541" w:rsidRPr="00924659">
        <w:rPr>
          <w:rFonts w:cs="Times New Roman"/>
          <w:b w:val="0"/>
          <w:spacing w:val="-1"/>
          <w:szCs w:val="24"/>
        </w:rPr>
        <w:t>≥</w:t>
      </w:r>
      <w:r w:rsidRPr="00924659">
        <w:rPr>
          <w:rFonts w:cs="Times New Roman"/>
          <w:b w:val="0"/>
          <w:spacing w:val="-1"/>
          <w:szCs w:val="24"/>
        </w:rPr>
        <w:t>1/10); yaygın (</w:t>
      </w:r>
      <w:r w:rsidR="00AB5541" w:rsidRPr="00924659">
        <w:rPr>
          <w:rFonts w:cs="Times New Roman"/>
          <w:b w:val="0"/>
          <w:spacing w:val="-1"/>
          <w:szCs w:val="24"/>
        </w:rPr>
        <w:t>≥</w:t>
      </w:r>
      <w:r w:rsidRPr="00924659">
        <w:rPr>
          <w:rFonts w:cs="Times New Roman"/>
          <w:b w:val="0"/>
          <w:spacing w:val="-1"/>
          <w:szCs w:val="24"/>
        </w:rPr>
        <w:t xml:space="preserve"> 1/100 ila &lt;1/10); yaygın olmayan (</w:t>
      </w:r>
      <w:r w:rsidR="00AB5541" w:rsidRPr="00924659">
        <w:rPr>
          <w:rFonts w:cs="Times New Roman"/>
          <w:b w:val="0"/>
          <w:spacing w:val="-1"/>
          <w:szCs w:val="24"/>
        </w:rPr>
        <w:t>≥</w:t>
      </w:r>
      <w:r w:rsidRPr="00924659">
        <w:rPr>
          <w:rFonts w:cs="Times New Roman"/>
          <w:b w:val="0"/>
          <w:spacing w:val="-1"/>
          <w:szCs w:val="24"/>
        </w:rPr>
        <w:t xml:space="preserve">1/1.000 ila &lt;1/100); seyrek </w:t>
      </w:r>
      <w:r w:rsidR="00AB5541" w:rsidRPr="00924659">
        <w:rPr>
          <w:rFonts w:cs="Times New Roman"/>
          <w:b w:val="0"/>
          <w:spacing w:val="-1"/>
          <w:szCs w:val="24"/>
        </w:rPr>
        <w:t>≥</w:t>
      </w:r>
      <w:r w:rsidRPr="00924659">
        <w:rPr>
          <w:rFonts w:cs="Times New Roman"/>
          <w:b w:val="0"/>
          <w:spacing w:val="-1"/>
          <w:szCs w:val="24"/>
        </w:rPr>
        <w:t>. 1/10.000 ila &lt;1/1000); çok seyrek (&lt;1/10.000), bilinmiyor (eldeki verilerden hareketle tahmin edilemiyor).</w:t>
      </w:r>
    </w:p>
    <w:p w:rsidR="00AB5541" w:rsidRPr="00924659" w:rsidRDefault="00AB5541" w:rsidP="00592705">
      <w:pPr>
        <w:shd w:val="clear" w:color="auto" w:fill="FFFFFF"/>
        <w:spacing w:line="276" w:lineRule="auto"/>
        <w:ind w:right="14"/>
        <w:jc w:val="both"/>
        <w:rPr>
          <w:rFonts w:cs="Times New Roman"/>
          <w:b w:val="0"/>
          <w:spacing w:val="-1"/>
          <w:szCs w:val="24"/>
        </w:rPr>
      </w:pPr>
    </w:p>
    <w:p w:rsidR="00405D0D" w:rsidRPr="00924659" w:rsidRDefault="00405D0D" w:rsidP="00592705">
      <w:pPr>
        <w:shd w:val="clear" w:color="auto" w:fill="FFFFFF"/>
        <w:spacing w:line="276" w:lineRule="auto"/>
        <w:ind w:right="14"/>
        <w:jc w:val="both"/>
        <w:rPr>
          <w:rFonts w:cs="Times New Roman"/>
          <w:spacing w:val="-1"/>
          <w:szCs w:val="24"/>
        </w:rPr>
      </w:pPr>
      <w:r w:rsidRPr="00924659">
        <w:rPr>
          <w:rFonts w:cs="Times New Roman"/>
          <w:spacing w:val="-1"/>
          <w:szCs w:val="24"/>
        </w:rPr>
        <w:t>Metabolizma ve beslenme hastalıkları</w:t>
      </w:r>
    </w:p>
    <w:p w:rsidR="00592705" w:rsidRPr="00924659" w:rsidRDefault="00592705" w:rsidP="00592705">
      <w:pPr>
        <w:pStyle w:val="Default"/>
        <w:spacing w:line="276" w:lineRule="auto"/>
        <w:jc w:val="both"/>
        <w:rPr>
          <w:color w:val="auto"/>
        </w:rPr>
      </w:pPr>
      <w:r w:rsidRPr="00924659">
        <w:rPr>
          <w:color w:val="auto"/>
        </w:rPr>
        <w:t xml:space="preserve">Yaygın: </w:t>
      </w:r>
    </w:p>
    <w:p w:rsidR="00592705" w:rsidRPr="00924659" w:rsidRDefault="00592705" w:rsidP="0079368E">
      <w:pPr>
        <w:pStyle w:val="Default"/>
        <w:spacing w:line="276" w:lineRule="auto"/>
        <w:jc w:val="both"/>
        <w:rPr>
          <w:color w:val="auto"/>
        </w:rPr>
      </w:pPr>
      <w:r w:rsidRPr="00924659">
        <w:rPr>
          <w:color w:val="auto"/>
        </w:rPr>
        <w:t xml:space="preserve">Hipoglisemi (Diğer oral </w:t>
      </w:r>
      <w:proofErr w:type="spellStart"/>
      <w:r w:rsidRPr="00924659">
        <w:rPr>
          <w:color w:val="auto"/>
        </w:rPr>
        <w:t>antidiyabetik</w:t>
      </w:r>
      <w:proofErr w:type="spellEnd"/>
      <w:r w:rsidRPr="00924659">
        <w:rPr>
          <w:color w:val="auto"/>
        </w:rPr>
        <w:t xml:space="preserve"> ilaçlarda olduğu gibi </w:t>
      </w:r>
      <w:proofErr w:type="spellStart"/>
      <w:r w:rsidRPr="00924659">
        <w:rPr>
          <w:color w:val="auto"/>
        </w:rPr>
        <w:t>nateglinid</w:t>
      </w:r>
      <w:proofErr w:type="spellEnd"/>
      <w:r w:rsidRPr="00924659">
        <w:rPr>
          <w:color w:val="auto"/>
        </w:rPr>
        <w:t xml:space="preserve"> verilmesinden sonra da hipoglisemiyi akla getiren semptomların gözlemlendiği olmuştur. Terleme, sersemlik hissi, titreme, göz kararması, iştah artması, </w:t>
      </w:r>
      <w:proofErr w:type="spellStart"/>
      <w:r w:rsidRPr="00924659">
        <w:rPr>
          <w:color w:val="auto"/>
        </w:rPr>
        <w:t>palpitasyon</w:t>
      </w:r>
      <w:proofErr w:type="spellEnd"/>
      <w:r w:rsidRPr="00924659">
        <w:rPr>
          <w:color w:val="auto"/>
        </w:rPr>
        <w:t>, bulantı, yor</w:t>
      </w:r>
      <w:r w:rsidR="0079368E" w:rsidRPr="00924659">
        <w:rPr>
          <w:color w:val="auto"/>
        </w:rPr>
        <w:t xml:space="preserve">gunluk ve dermansızlık şeklinde </w:t>
      </w:r>
      <w:r w:rsidRPr="00924659">
        <w:rPr>
          <w:color w:val="auto"/>
        </w:rPr>
        <w:lastRenderedPageBreak/>
        <w:t xml:space="preserve">olabilen bu gibi semptomlar, genellikle hafiftir ve gerektiğinde karbonhidrat alınarak kolayca ortadan kaldırılabilir. Klinik çalışmalarda </w:t>
      </w:r>
      <w:proofErr w:type="spellStart"/>
      <w:r w:rsidRPr="00924659">
        <w:rPr>
          <w:color w:val="auto"/>
        </w:rPr>
        <w:t>nateglinid</w:t>
      </w:r>
      <w:proofErr w:type="spellEnd"/>
      <w:r w:rsidRPr="00924659">
        <w:rPr>
          <w:color w:val="auto"/>
        </w:rPr>
        <w:t xml:space="preserve"> kullanan hastaların %2.4'ünde, kan şekerinin düşük bulunmasıyla (plazma glikoz düzeyinin &lt;3.3 </w:t>
      </w:r>
      <w:proofErr w:type="spellStart"/>
      <w:r w:rsidRPr="00924659">
        <w:rPr>
          <w:color w:val="auto"/>
        </w:rPr>
        <w:t>mmol</w:t>
      </w:r>
      <w:proofErr w:type="spellEnd"/>
      <w:r w:rsidRPr="00924659">
        <w:rPr>
          <w:color w:val="auto"/>
        </w:rPr>
        <w:t xml:space="preserve">/L olmasıyla) da doğrulanan </w:t>
      </w:r>
      <w:proofErr w:type="spellStart"/>
      <w:r w:rsidRPr="00924659">
        <w:rPr>
          <w:color w:val="auto"/>
        </w:rPr>
        <w:t>semptomatik</w:t>
      </w:r>
      <w:proofErr w:type="spellEnd"/>
      <w:r w:rsidRPr="00924659">
        <w:rPr>
          <w:color w:val="auto"/>
        </w:rPr>
        <w:t xml:space="preserve"> olaylar görülmüştür.)</w:t>
      </w:r>
    </w:p>
    <w:p w:rsidR="00592705" w:rsidRPr="00924659" w:rsidRDefault="00592705" w:rsidP="00592705">
      <w:pPr>
        <w:shd w:val="clear" w:color="auto" w:fill="FFFFFF"/>
        <w:spacing w:line="276" w:lineRule="auto"/>
        <w:ind w:right="14"/>
        <w:jc w:val="both"/>
        <w:rPr>
          <w:rFonts w:cs="Times New Roman"/>
          <w:spacing w:val="-1"/>
          <w:szCs w:val="24"/>
        </w:rPr>
      </w:pPr>
      <w:r w:rsidRPr="00924659">
        <w:rPr>
          <w:rFonts w:cs="Times New Roman"/>
          <w:spacing w:val="-1"/>
          <w:szCs w:val="24"/>
        </w:rPr>
        <w:t>Bağışıklık sistemi hastalıkları</w:t>
      </w:r>
    </w:p>
    <w:p w:rsidR="00592705" w:rsidRPr="00924659" w:rsidRDefault="00592705" w:rsidP="00592705">
      <w:pPr>
        <w:shd w:val="clear" w:color="auto" w:fill="FFFFFF"/>
        <w:spacing w:line="276" w:lineRule="auto"/>
        <w:ind w:right="14"/>
        <w:jc w:val="both"/>
        <w:rPr>
          <w:rFonts w:cs="Times New Roman"/>
          <w:b w:val="0"/>
          <w:spacing w:val="-1"/>
          <w:szCs w:val="24"/>
        </w:rPr>
      </w:pPr>
      <w:r w:rsidRPr="00924659">
        <w:rPr>
          <w:rFonts w:cs="Times New Roman"/>
          <w:b w:val="0"/>
          <w:spacing w:val="-1"/>
          <w:szCs w:val="24"/>
        </w:rPr>
        <w:t>Seyrek: Deri döküntüsü, kaşıntı ve ürtiker gibi aşın duyarlılık reaksiyonları</w:t>
      </w:r>
    </w:p>
    <w:p w:rsidR="0079368E" w:rsidRPr="00924659" w:rsidRDefault="0079368E" w:rsidP="00EB30C8">
      <w:pPr>
        <w:shd w:val="clear" w:color="auto" w:fill="FFFFFF"/>
        <w:spacing w:line="276" w:lineRule="auto"/>
        <w:ind w:right="14"/>
        <w:jc w:val="both"/>
        <w:rPr>
          <w:bCs/>
          <w:szCs w:val="24"/>
        </w:rPr>
      </w:pPr>
      <w:proofErr w:type="spellStart"/>
      <w:r w:rsidRPr="00924659">
        <w:rPr>
          <w:bCs/>
          <w:szCs w:val="24"/>
        </w:rPr>
        <w:t>Gastrointestinal</w:t>
      </w:r>
      <w:proofErr w:type="spellEnd"/>
      <w:r w:rsidRPr="00924659">
        <w:rPr>
          <w:bCs/>
          <w:szCs w:val="24"/>
        </w:rPr>
        <w:t xml:space="preserve"> hastalıklar </w:t>
      </w:r>
    </w:p>
    <w:p w:rsidR="0079368E" w:rsidRPr="00924659" w:rsidRDefault="0079368E" w:rsidP="00EB30C8">
      <w:pPr>
        <w:shd w:val="clear" w:color="auto" w:fill="FFFFFF"/>
        <w:spacing w:line="276" w:lineRule="auto"/>
        <w:ind w:right="14"/>
        <w:jc w:val="both"/>
        <w:rPr>
          <w:b w:val="0"/>
          <w:szCs w:val="24"/>
        </w:rPr>
      </w:pPr>
      <w:r w:rsidRPr="00924659">
        <w:rPr>
          <w:b w:val="0"/>
          <w:szCs w:val="24"/>
        </w:rPr>
        <w:t>Yaygın: Karın ağrısı, ishal, hazımsızlık, mide bulantısı.</w:t>
      </w:r>
    </w:p>
    <w:p w:rsidR="0079368E" w:rsidRPr="00924659" w:rsidRDefault="0079368E" w:rsidP="00EB30C8">
      <w:pPr>
        <w:shd w:val="clear" w:color="auto" w:fill="FFFFFF"/>
        <w:spacing w:line="276" w:lineRule="auto"/>
        <w:ind w:right="14"/>
        <w:jc w:val="both"/>
        <w:rPr>
          <w:rFonts w:cs="Times New Roman"/>
          <w:b w:val="0"/>
          <w:spacing w:val="-1"/>
          <w:szCs w:val="24"/>
        </w:rPr>
      </w:pPr>
      <w:r w:rsidRPr="00924659">
        <w:rPr>
          <w:b w:val="0"/>
          <w:szCs w:val="24"/>
        </w:rPr>
        <w:t xml:space="preserve">Yaygın olmayan: Kusma </w:t>
      </w:r>
    </w:p>
    <w:p w:rsidR="00405D0D" w:rsidRPr="00924659" w:rsidRDefault="00405D0D" w:rsidP="00EB30C8">
      <w:pPr>
        <w:shd w:val="clear" w:color="auto" w:fill="FFFFFF"/>
        <w:spacing w:line="276" w:lineRule="auto"/>
        <w:ind w:right="14"/>
        <w:jc w:val="both"/>
        <w:rPr>
          <w:rFonts w:cs="Times New Roman"/>
          <w:spacing w:val="-1"/>
          <w:szCs w:val="24"/>
        </w:rPr>
      </w:pPr>
      <w:proofErr w:type="spellStart"/>
      <w:r w:rsidRPr="00924659">
        <w:rPr>
          <w:rFonts w:cs="Times New Roman"/>
          <w:spacing w:val="-1"/>
          <w:szCs w:val="24"/>
        </w:rPr>
        <w:t>Hepato</w:t>
      </w:r>
      <w:proofErr w:type="spellEnd"/>
      <w:r w:rsidRPr="00924659">
        <w:rPr>
          <w:rFonts w:cs="Times New Roman"/>
          <w:spacing w:val="-1"/>
          <w:szCs w:val="24"/>
        </w:rPr>
        <w:t>-</w:t>
      </w:r>
      <w:proofErr w:type="spellStart"/>
      <w:r w:rsidRPr="00924659">
        <w:rPr>
          <w:rFonts w:cs="Times New Roman"/>
          <w:spacing w:val="-1"/>
          <w:szCs w:val="24"/>
        </w:rPr>
        <w:t>bilier</w:t>
      </w:r>
      <w:proofErr w:type="spellEnd"/>
      <w:r w:rsidRPr="00924659">
        <w:rPr>
          <w:rFonts w:cs="Times New Roman"/>
          <w:spacing w:val="-1"/>
          <w:szCs w:val="24"/>
        </w:rPr>
        <w:t xml:space="preserve"> hastalıkları</w:t>
      </w:r>
    </w:p>
    <w:p w:rsidR="00405D0D" w:rsidRPr="00924659" w:rsidRDefault="00592705"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Seyrek: </w:t>
      </w:r>
      <w:r w:rsidR="00405D0D" w:rsidRPr="00924659">
        <w:rPr>
          <w:rFonts w:cs="Times New Roman"/>
          <w:b w:val="0"/>
          <w:spacing w:val="-1"/>
          <w:szCs w:val="24"/>
        </w:rPr>
        <w:t>Karaciğer enzimlerinde yükselmeler</w:t>
      </w:r>
    </w:p>
    <w:p w:rsidR="00405D0D" w:rsidRPr="00924659" w:rsidRDefault="00405D0D" w:rsidP="00EB30C8">
      <w:pPr>
        <w:shd w:val="clear" w:color="auto" w:fill="FFFFFF"/>
        <w:spacing w:line="276" w:lineRule="auto"/>
        <w:ind w:right="14"/>
        <w:jc w:val="both"/>
        <w:rPr>
          <w:rFonts w:cs="Times New Roman"/>
          <w:spacing w:val="-1"/>
          <w:szCs w:val="24"/>
        </w:rPr>
      </w:pPr>
      <w:r w:rsidRPr="00924659">
        <w:rPr>
          <w:rFonts w:cs="Times New Roman"/>
          <w:spacing w:val="-1"/>
          <w:szCs w:val="24"/>
        </w:rPr>
        <w:t xml:space="preserve">Diğer </w:t>
      </w:r>
      <w:proofErr w:type="spellStart"/>
      <w:r w:rsidRPr="00924659">
        <w:rPr>
          <w:rFonts w:cs="Times New Roman"/>
          <w:spacing w:val="-1"/>
          <w:szCs w:val="24"/>
        </w:rPr>
        <w:t>advers</w:t>
      </w:r>
      <w:proofErr w:type="spellEnd"/>
      <w:r w:rsidRPr="00924659">
        <w:rPr>
          <w:rFonts w:cs="Times New Roman"/>
          <w:spacing w:val="-1"/>
          <w:szCs w:val="24"/>
        </w:rPr>
        <w:t xml:space="preserve"> olaylar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Klinik çalışmalarda sık karşılaşılan diğer hemen bütün </w:t>
      </w:r>
      <w:proofErr w:type="spellStart"/>
      <w:r w:rsidRPr="00924659">
        <w:rPr>
          <w:rFonts w:cs="Times New Roman"/>
          <w:b w:val="0"/>
          <w:spacing w:val="-1"/>
          <w:szCs w:val="24"/>
        </w:rPr>
        <w:t>advers</w:t>
      </w:r>
      <w:proofErr w:type="spellEnd"/>
      <w:r w:rsidRPr="00924659">
        <w:rPr>
          <w:rFonts w:cs="Times New Roman"/>
          <w:b w:val="0"/>
          <w:spacing w:val="-1"/>
          <w:szCs w:val="24"/>
        </w:rPr>
        <w:t xml:space="preserve"> olayla</w:t>
      </w:r>
      <w:r w:rsidR="00206A9C" w:rsidRPr="00924659">
        <w:rPr>
          <w:rFonts w:cs="Times New Roman"/>
          <w:b w:val="0"/>
          <w:spacing w:val="-1"/>
          <w:szCs w:val="24"/>
        </w:rPr>
        <w:t>rın</w:t>
      </w:r>
      <w:r w:rsidRPr="00924659">
        <w:rPr>
          <w:rFonts w:cs="Times New Roman"/>
          <w:b w:val="0"/>
          <w:spacing w:val="-1"/>
          <w:szCs w:val="24"/>
        </w:rPr>
        <w:t xml:space="preserve"> </w:t>
      </w:r>
      <w:proofErr w:type="spellStart"/>
      <w:r w:rsidRPr="00924659">
        <w:rPr>
          <w:rFonts w:cs="Times New Roman"/>
          <w:b w:val="0"/>
          <w:spacing w:val="-1"/>
          <w:szCs w:val="24"/>
        </w:rPr>
        <w:t>insidansı</w:t>
      </w:r>
      <w:proofErr w:type="spellEnd"/>
      <w:r w:rsidRPr="00924659">
        <w:rPr>
          <w:rFonts w:cs="Times New Roman"/>
          <w:b w:val="0"/>
          <w:spacing w:val="-1"/>
          <w:szCs w:val="24"/>
        </w:rPr>
        <w:t xml:space="preserve"> bakımından </w:t>
      </w:r>
      <w:proofErr w:type="spellStart"/>
      <w:r w:rsidR="0079368E" w:rsidRPr="00924659">
        <w:rPr>
          <w:rFonts w:cs="Times New Roman"/>
          <w:b w:val="0"/>
          <w:spacing w:val="-1"/>
          <w:szCs w:val="24"/>
        </w:rPr>
        <w:t>nateglinid</w:t>
      </w:r>
      <w:proofErr w:type="spellEnd"/>
      <w:r w:rsidRPr="00924659">
        <w:rPr>
          <w:rFonts w:cs="Times New Roman"/>
          <w:b w:val="0"/>
          <w:spacing w:val="-1"/>
          <w:szCs w:val="24"/>
        </w:rPr>
        <w:t xml:space="preserve"> kullanan hastalarla </w:t>
      </w:r>
      <w:proofErr w:type="spellStart"/>
      <w:r w:rsidRPr="00924659">
        <w:rPr>
          <w:rFonts w:cs="Times New Roman"/>
          <w:b w:val="0"/>
          <w:spacing w:val="-1"/>
          <w:szCs w:val="24"/>
        </w:rPr>
        <w:t>plasebo</w:t>
      </w:r>
      <w:proofErr w:type="spellEnd"/>
      <w:r w:rsidRPr="00924659">
        <w:rPr>
          <w:rFonts w:cs="Times New Roman"/>
          <w:b w:val="0"/>
          <w:spacing w:val="-1"/>
          <w:szCs w:val="24"/>
        </w:rPr>
        <w:t xml:space="preserve"> verilen hastalar arasında pek fark görülmemiştir. </w:t>
      </w:r>
      <w:r w:rsidR="0079368E" w:rsidRPr="00924659">
        <w:rPr>
          <w:rFonts w:cs="Times New Roman"/>
          <w:b w:val="0"/>
          <w:spacing w:val="-1"/>
          <w:szCs w:val="24"/>
        </w:rPr>
        <w:t>H</w:t>
      </w:r>
      <w:r w:rsidRPr="00924659">
        <w:rPr>
          <w:rFonts w:cs="Times New Roman"/>
          <w:b w:val="0"/>
          <w:spacing w:val="-1"/>
          <w:szCs w:val="24"/>
        </w:rPr>
        <w:t xml:space="preserve">azımsızlık gibi </w:t>
      </w:r>
      <w:proofErr w:type="spellStart"/>
      <w:r w:rsidRPr="00924659">
        <w:rPr>
          <w:rFonts w:cs="Times New Roman"/>
          <w:b w:val="0"/>
          <w:spacing w:val="-1"/>
          <w:szCs w:val="24"/>
        </w:rPr>
        <w:t>gastrointestinal</w:t>
      </w:r>
      <w:proofErr w:type="spellEnd"/>
      <w:r w:rsidRPr="00924659">
        <w:rPr>
          <w:rFonts w:cs="Times New Roman"/>
          <w:b w:val="0"/>
          <w:spacing w:val="-1"/>
          <w:szCs w:val="24"/>
        </w:rPr>
        <w:t xml:space="preserve"> şikayetler, baş ağ</w:t>
      </w:r>
      <w:r w:rsidR="00206A9C" w:rsidRPr="00924659">
        <w:rPr>
          <w:rFonts w:cs="Times New Roman"/>
          <w:b w:val="0"/>
          <w:spacing w:val="-1"/>
          <w:szCs w:val="24"/>
        </w:rPr>
        <w:t>rı</w:t>
      </w:r>
      <w:r w:rsidRPr="00924659">
        <w:rPr>
          <w:rFonts w:cs="Times New Roman"/>
          <w:b w:val="0"/>
          <w:spacing w:val="-1"/>
          <w:szCs w:val="24"/>
        </w:rPr>
        <w:t>sı ve hasta popülasyonla</w:t>
      </w:r>
      <w:r w:rsidR="00206A9C" w:rsidRPr="00924659">
        <w:rPr>
          <w:rFonts w:cs="Times New Roman"/>
          <w:b w:val="0"/>
          <w:spacing w:val="-1"/>
          <w:szCs w:val="24"/>
        </w:rPr>
        <w:t>rı</w:t>
      </w:r>
      <w:r w:rsidRPr="00924659">
        <w:rPr>
          <w:rFonts w:cs="Times New Roman"/>
          <w:b w:val="0"/>
          <w:spacing w:val="-1"/>
          <w:szCs w:val="24"/>
        </w:rPr>
        <w:t>nda bulunma olasılığı olan diğer sağlık sorunla</w:t>
      </w:r>
      <w:r w:rsidR="00206A9C" w:rsidRPr="00924659">
        <w:rPr>
          <w:rFonts w:cs="Times New Roman"/>
          <w:b w:val="0"/>
          <w:spacing w:val="-1"/>
          <w:szCs w:val="24"/>
        </w:rPr>
        <w:t>rı</w:t>
      </w:r>
      <w:r w:rsidRPr="00924659">
        <w:rPr>
          <w:rFonts w:cs="Times New Roman"/>
          <w:b w:val="0"/>
          <w:spacing w:val="-1"/>
          <w:szCs w:val="24"/>
        </w:rPr>
        <w:t>yla, örneğin solunum enfeksiyonla</w:t>
      </w:r>
      <w:r w:rsidR="00206A9C" w:rsidRPr="00924659">
        <w:rPr>
          <w:rFonts w:cs="Times New Roman"/>
          <w:b w:val="0"/>
          <w:spacing w:val="-1"/>
          <w:szCs w:val="24"/>
        </w:rPr>
        <w:t>rı</w:t>
      </w:r>
      <w:r w:rsidRPr="00924659">
        <w:rPr>
          <w:rFonts w:cs="Times New Roman"/>
          <w:b w:val="0"/>
          <w:spacing w:val="-1"/>
          <w:szCs w:val="24"/>
        </w:rPr>
        <w:t xml:space="preserve">yla açıklanabilen olaylar; bu gibi </w:t>
      </w:r>
      <w:proofErr w:type="spellStart"/>
      <w:r w:rsidRPr="00924659">
        <w:rPr>
          <w:rFonts w:cs="Times New Roman"/>
          <w:b w:val="0"/>
          <w:spacing w:val="-1"/>
          <w:szCs w:val="24"/>
        </w:rPr>
        <w:t>advers</w:t>
      </w:r>
      <w:proofErr w:type="spellEnd"/>
      <w:r w:rsidRPr="00924659">
        <w:rPr>
          <w:rFonts w:cs="Times New Roman"/>
          <w:b w:val="0"/>
          <w:spacing w:val="-1"/>
          <w:szCs w:val="24"/>
        </w:rPr>
        <w:t xml:space="preserve"> olaylardandır.</w:t>
      </w:r>
    </w:p>
    <w:p w:rsidR="00AB5541" w:rsidRPr="00924659" w:rsidRDefault="00AB5541" w:rsidP="00EB30C8">
      <w:pPr>
        <w:shd w:val="clear" w:color="auto" w:fill="FFFFFF"/>
        <w:spacing w:line="276" w:lineRule="auto"/>
        <w:ind w:right="14"/>
        <w:jc w:val="both"/>
        <w:rPr>
          <w:rFonts w:cs="Times New Roman"/>
          <w:b w:val="0"/>
          <w:spacing w:val="-1"/>
          <w:szCs w:val="24"/>
        </w:rPr>
      </w:pPr>
    </w:p>
    <w:p w:rsidR="0079368E" w:rsidRPr="00924659" w:rsidRDefault="0079368E" w:rsidP="00EB30C8">
      <w:pPr>
        <w:shd w:val="clear" w:color="auto" w:fill="FFFFFF"/>
        <w:spacing w:line="276" w:lineRule="auto"/>
        <w:ind w:right="14"/>
        <w:jc w:val="both"/>
        <w:rPr>
          <w:bCs/>
          <w:szCs w:val="24"/>
        </w:rPr>
      </w:pPr>
      <w:r w:rsidRPr="00924659">
        <w:rPr>
          <w:bCs/>
          <w:szCs w:val="24"/>
        </w:rPr>
        <w:t>Pazarlama sonrası deneyim:</w:t>
      </w:r>
    </w:p>
    <w:p w:rsidR="0079368E" w:rsidRPr="00924659" w:rsidRDefault="0079368E" w:rsidP="00EB30C8">
      <w:pPr>
        <w:shd w:val="clear" w:color="auto" w:fill="FFFFFF"/>
        <w:spacing w:line="276" w:lineRule="auto"/>
        <w:ind w:right="14"/>
        <w:jc w:val="both"/>
        <w:rPr>
          <w:b w:val="0"/>
          <w:szCs w:val="24"/>
        </w:rPr>
      </w:pPr>
      <w:r w:rsidRPr="00924659">
        <w:rPr>
          <w:b w:val="0"/>
          <w:szCs w:val="24"/>
        </w:rPr>
        <w:t xml:space="preserve">Pazarlama sonrası deneyim sırasında, deri döküntüsü, kaşıntı ve ürtiker gibi çok nadir aşırı duyarlılık vakaları bildirilmiştir. Benzer şekilde, sarılık, </w:t>
      </w:r>
      <w:proofErr w:type="spellStart"/>
      <w:r w:rsidRPr="00924659">
        <w:rPr>
          <w:b w:val="0"/>
          <w:szCs w:val="24"/>
        </w:rPr>
        <w:t>kolestatik</w:t>
      </w:r>
      <w:proofErr w:type="spellEnd"/>
      <w:r w:rsidRPr="00924659">
        <w:rPr>
          <w:b w:val="0"/>
          <w:szCs w:val="24"/>
        </w:rPr>
        <w:t xml:space="preserve"> hepatit ve yüksek karaciğer enzimleri vakaları da bildirilmiş ve çok nadir olarak </w:t>
      </w:r>
      <w:proofErr w:type="spellStart"/>
      <w:r w:rsidRPr="00924659">
        <w:rPr>
          <w:b w:val="0"/>
          <w:szCs w:val="24"/>
        </w:rPr>
        <w:t>eritem</w:t>
      </w:r>
      <w:proofErr w:type="spellEnd"/>
      <w:r w:rsidRPr="00924659">
        <w:rPr>
          <w:b w:val="0"/>
          <w:szCs w:val="24"/>
        </w:rPr>
        <w:t xml:space="preserve"> </w:t>
      </w:r>
      <w:proofErr w:type="spellStart"/>
      <w:r w:rsidRPr="00924659">
        <w:rPr>
          <w:b w:val="0"/>
          <w:szCs w:val="24"/>
        </w:rPr>
        <w:t>multiform</w:t>
      </w:r>
      <w:proofErr w:type="spellEnd"/>
      <w:r w:rsidRPr="00924659">
        <w:rPr>
          <w:b w:val="0"/>
          <w:szCs w:val="24"/>
        </w:rPr>
        <w:t xml:space="preserve"> gözlenmiştir.</w:t>
      </w:r>
    </w:p>
    <w:p w:rsidR="0079368E" w:rsidRPr="00924659" w:rsidRDefault="0079368E" w:rsidP="00EB30C8">
      <w:pPr>
        <w:shd w:val="clear" w:color="auto" w:fill="FFFFFF"/>
        <w:spacing w:line="276" w:lineRule="auto"/>
        <w:ind w:right="14"/>
        <w:jc w:val="both"/>
        <w:rPr>
          <w:rFonts w:cs="Times New Roman"/>
          <w:b w:val="0"/>
          <w:spacing w:val="-1"/>
          <w:szCs w:val="24"/>
        </w:rPr>
      </w:pPr>
    </w:p>
    <w:p w:rsidR="00D11773" w:rsidRPr="00924659" w:rsidRDefault="00D11773" w:rsidP="00D11773">
      <w:pPr>
        <w:shd w:val="clear" w:color="auto" w:fill="FFFFFF"/>
        <w:spacing w:line="276" w:lineRule="auto"/>
        <w:ind w:right="14"/>
        <w:jc w:val="both"/>
        <w:rPr>
          <w:rFonts w:cs="Times New Roman"/>
          <w:b w:val="0"/>
          <w:spacing w:val="-1"/>
          <w:szCs w:val="24"/>
          <w:u w:val="single"/>
        </w:rPr>
      </w:pPr>
      <w:r w:rsidRPr="00924659">
        <w:rPr>
          <w:rFonts w:cs="Times New Roman"/>
          <w:b w:val="0"/>
          <w:spacing w:val="-1"/>
          <w:szCs w:val="24"/>
          <w:u w:val="single"/>
        </w:rPr>
        <w:t xml:space="preserve">Şüpheli </w:t>
      </w:r>
      <w:proofErr w:type="spellStart"/>
      <w:r w:rsidRPr="00924659">
        <w:rPr>
          <w:rFonts w:cs="Times New Roman"/>
          <w:b w:val="0"/>
          <w:spacing w:val="-1"/>
          <w:szCs w:val="24"/>
          <w:u w:val="single"/>
        </w:rPr>
        <w:t>advers</w:t>
      </w:r>
      <w:proofErr w:type="spellEnd"/>
      <w:r w:rsidRPr="00924659">
        <w:rPr>
          <w:rFonts w:cs="Times New Roman"/>
          <w:b w:val="0"/>
          <w:spacing w:val="-1"/>
          <w:szCs w:val="24"/>
          <w:u w:val="single"/>
        </w:rPr>
        <w:t xml:space="preserve"> reaksiyonların raporlanması</w:t>
      </w:r>
    </w:p>
    <w:p w:rsidR="00D11773" w:rsidRPr="00924659" w:rsidRDefault="00D11773" w:rsidP="00D11773">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Ruhsatlandırma sonrası şüpheli ilaç </w:t>
      </w:r>
      <w:proofErr w:type="spellStart"/>
      <w:r w:rsidRPr="00924659">
        <w:rPr>
          <w:rFonts w:cs="Times New Roman"/>
          <w:b w:val="0"/>
          <w:spacing w:val="-1"/>
          <w:szCs w:val="24"/>
        </w:rPr>
        <w:t>advers</w:t>
      </w:r>
      <w:proofErr w:type="spellEnd"/>
      <w:r w:rsidRPr="00924659">
        <w:rPr>
          <w:rFonts w:cs="Times New Roman"/>
          <w:b w:val="0"/>
          <w:spacing w:val="-1"/>
          <w:szCs w:val="24"/>
        </w:rPr>
        <w:t xml:space="preserve"> reaksiyonlarının raporlanması büyük önem taşımaktadır. Raporlama yapılması, ilacın yarar / risk dengesinin sürekli olarak izlenmesine olanak sağlar. Sağlık mesleği mensuplarının herhangi bir şüpheli </w:t>
      </w:r>
      <w:proofErr w:type="spellStart"/>
      <w:r w:rsidRPr="00924659">
        <w:rPr>
          <w:rFonts w:cs="Times New Roman"/>
          <w:b w:val="0"/>
          <w:spacing w:val="-1"/>
          <w:szCs w:val="24"/>
        </w:rPr>
        <w:t>advers</w:t>
      </w:r>
      <w:proofErr w:type="spellEnd"/>
      <w:r w:rsidRPr="00924659">
        <w:rPr>
          <w:rFonts w:cs="Times New Roman"/>
          <w:b w:val="0"/>
          <w:spacing w:val="-1"/>
          <w:szCs w:val="24"/>
        </w:rPr>
        <w:t xml:space="preserve"> reaksiyonu Türkiye </w:t>
      </w:r>
      <w:proofErr w:type="spellStart"/>
      <w:r w:rsidRPr="00924659">
        <w:rPr>
          <w:rFonts w:cs="Times New Roman"/>
          <w:b w:val="0"/>
          <w:spacing w:val="-1"/>
          <w:szCs w:val="24"/>
        </w:rPr>
        <w:t>Farmakovijilans</w:t>
      </w:r>
      <w:proofErr w:type="spellEnd"/>
      <w:r w:rsidRPr="00924659">
        <w:rPr>
          <w:rFonts w:cs="Times New Roman"/>
          <w:b w:val="0"/>
          <w:spacing w:val="-1"/>
          <w:szCs w:val="24"/>
        </w:rPr>
        <w:t xml:space="preserve"> Merkezi (TÜFAM)'ne bildirmeleri gerekmektedir. (www.</w:t>
      </w:r>
      <w:proofErr w:type="spellStart"/>
      <w:r w:rsidRPr="00924659">
        <w:rPr>
          <w:rFonts w:cs="Times New Roman"/>
          <w:b w:val="0"/>
          <w:spacing w:val="-1"/>
          <w:szCs w:val="24"/>
        </w:rPr>
        <w:t>titck</w:t>
      </w:r>
      <w:proofErr w:type="spellEnd"/>
      <w:r w:rsidRPr="00924659">
        <w:rPr>
          <w:rFonts w:cs="Times New Roman"/>
          <w:b w:val="0"/>
          <w:spacing w:val="-1"/>
          <w:szCs w:val="24"/>
        </w:rPr>
        <w:t xml:space="preserve">.gov.tr; e-posta: </w:t>
      </w:r>
      <w:proofErr w:type="spellStart"/>
      <w:r w:rsidRPr="00924659">
        <w:rPr>
          <w:rFonts w:cs="Times New Roman"/>
          <w:b w:val="0"/>
          <w:spacing w:val="-1"/>
          <w:szCs w:val="24"/>
        </w:rPr>
        <w:t>tufam</w:t>
      </w:r>
      <w:proofErr w:type="spellEnd"/>
      <w:r w:rsidRPr="00924659">
        <w:rPr>
          <w:rFonts w:cs="Times New Roman"/>
          <w:b w:val="0"/>
          <w:spacing w:val="-1"/>
          <w:szCs w:val="24"/>
        </w:rPr>
        <w:t>@</w:t>
      </w:r>
      <w:proofErr w:type="spellStart"/>
      <w:r w:rsidRPr="00924659">
        <w:rPr>
          <w:rFonts w:cs="Times New Roman"/>
          <w:b w:val="0"/>
          <w:spacing w:val="-1"/>
          <w:szCs w:val="24"/>
        </w:rPr>
        <w:t>titck</w:t>
      </w:r>
      <w:proofErr w:type="spellEnd"/>
      <w:r w:rsidRPr="00924659">
        <w:rPr>
          <w:rFonts w:cs="Times New Roman"/>
          <w:b w:val="0"/>
          <w:spacing w:val="-1"/>
          <w:szCs w:val="24"/>
        </w:rPr>
        <w:t>.gov.tr; tel: 0800 314 0008; faks: 03122183599)</w:t>
      </w:r>
    </w:p>
    <w:p w:rsidR="00D11773" w:rsidRPr="00924659" w:rsidRDefault="00D11773" w:rsidP="00D11773">
      <w:pPr>
        <w:shd w:val="clear" w:color="auto" w:fill="FFFFFF"/>
        <w:spacing w:line="276" w:lineRule="auto"/>
        <w:ind w:right="14"/>
        <w:jc w:val="both"/>
        <w:rPr>
          <w:rFonts w:cs="Times New Roman"/>
          <w:b w:val="0"/>
          <w:spacing w:val="-1"/>
          <w:szCs w:val="24"/>
        </w:rPr>
      </w:pPr>
    </w:p>
    <w:p w:rsidR="00405D0D" w:rsidRPr="00924659" w:rsidRDefault="00405D0D" w:rsidP="00EB30C8">
      <w:pPr>
        <w:shd w:val="clear" w:color="auto" w:fill="FFFFFF"/>
        <w:spacing w:line="276" w:lineRule="auto"/>
        <w:jc w:val="both"/>
        <w:rPr>
          <w:rFonts w:cs="Times New Roman"/>
          <w:spacing w:val="-1"/>
          <w:szCs w:val="24"/>
        </w:rPr>
      </w:pPr>
      <w:r w:rsidRPr="00924659">
        <w:rPr>
          <w:rFonts w:cs="Times New Roman"/>
          <w:spacing w:val="-1"/>
          <w:szCs w:val="24"/>
        </w:rPr>
        <w:t>4.9</w:t>
      </w:r>
      <w:r w:rsidR="00204CA8" w:rsidRPr="00924659">
        <w:rPr>
          <w:rFonts w:cs="Times New Roman"/>
          <w:spacing w:val="-1"/>
          <w:szCs w:val="24"/>
        </w:rPr>
        <w:t>.</w:t>
      </w:r>
      <w:r w:rsidR="00A214B7" w:rsidRPr="00924659">
        <w:rPr>
          <w:rFonts w:cs="Times New Roman"/>
          <w:spacing w:val="-1"/>
          <w:szCs w:val="24"/>
        </w:rPr>
        <w:t xml:space="preserve"> </w:t>
      </w:r>
      <w:r w:rsidRPr="00924659">
        <w:rPr>
          <w:rFonts w:cs="Times New Roman"/>
          <w:spacing w:val="-1"/>
          <w:szCs w:val="24"/>
        </w:rPr>
        <w:t>Doz aşımı ve tedavisi</w:t>
      </w:r>
    </w:p>
    <w:p w:rsidR="00405D0D" w:rsidRPr="00924659" w:rsidRDefault="00206A9C"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Bir klinik çalı</w:t>
      </w:r>
      <w:r w:rsidR="00405D0D" w:rsidRPr="00924659">
        <w:rPr>
          <w:rFonts w:cs="Times New Roman"/>
          <w:b w:val="0"/>
          <w:spacing w:val="-1"/>
          <w:szCs w:val="24"/>
        </w:rPr>
        <w:t xml:space="preserve">şmada hastalar 7 gün boyunca gittikçe artarak günde 720 miligrama kadar yükselen dozlarda </w:t>
      </w:r>
      <w:proofErr w:type="spellStart"/>
      <w:r w:rsidR="00DC1478" w:rsidRPr="00924659">
        <w:rPr>
          <w:rFonts w:cs="Times New Roman"/>
          <w:b w:val="0"/>
          <w:spacing w:val="-1"/>
          <w:szCs w:val="24"/>
        </w:rPr>
        <w:t>nateglinid</w:t>
      </w:r>
      <w:proofErr w:type="spellEnd"/>
      <w:r w:rsidR="00405D0D" w:rsidRPr="00924659">
        <w:rPr>
          <w:rFonts w:cs="Times New Roman"/>
          <w:b w:val="0"/>
          <w:spacing w:val="-1"/>
          <w:szCs w:val="24"/>
        </w:rPr>
        <w:t xml:space="preserve"> kullanmışlar ve bu dozu</w:t>
      </w:r>
      <w:r w:rsidR="00A214B7" w:rsidRPr="00924659">
        <w:rPr>
          <w:rFonts w:cs="Times New Roman"/>
          <w:b w:val="0"/>
          <w:spacing w:val="-1"/>
          <w:szCs w:val="24"/>
        </w:rPr>
        <w:t xml:space="preserve"> </w:t>
      </w:r>
      <w:r w:rsidR="00405D0D" w:rsidRPr="00924659">
        <w:rPr>
          <w:rFonts w:cs="Times New Roman"/>
          <w:b w:val="0"/>
          <w:spacing w:val="-1"/>
          <w:szCs w:val="24"/>
        </w:rPr>
        <w:t xml:space="preserve">iyi </w:t>
      </w:r>
      <w:proofErr w:type="spellStart"/>
      <w:r w:rsidR="00405D0D" w:rsidRPr="00924659">
        <w:rPr>
          <w:rFonts w:cs="Times New Roman"/>
          <w:b w:val="0"/>
          <w:spacing w:val="-1"/>
          <w:szCs w:val="24"/>
        </w:rPr>
        <w:t>tolere</w:t>
      </w:r>
      <w:proofErr w:type="spellEnd"/>
      <w:r w:rsidR="00405D0D" w:rsidRPr="00924659">
        <w:rPr>
          <w:rFonts w:cs="Times New Roman"/>
          <w:b w:val="0"/>
          <w:spacing w:val="-1"/>
          <w:szCs w:val="24"/>
        </w:rPr>
        <w:t xml:space="preserve"> etmişlerdir.</w:t>
      </w:r>
      <w:r w:rsidR="00A214B7" w:rsidRPr="00924659">
        <w:rPr>
          <w:rFonts w:cs="Times New Roman"/>
          <w:b w:val="0"/>
          <w:spacing w:val="-1"/>
          <w:szCs w:val="24"/>
        </w:rPr>
        <w:t xml:space="preserve"> </w:t>
      </w:r>
      <w:r w:rsidR="00405D0D" w:rsidRPr="00924659">
        <w:rPr>
          <w:rFonts w:cs="Times New Roman"/>
          <w:b w:val="0"/>
          <w:spacing w:val="-1"/>
          <w:szCs w:val="24"/>
        </w:rPr>
        <w:t>Klinik</w:t>
      </w:r>
      <w:r w:rsidR="006072CA" w:rsidRPr="00924659">
        <w:rPr>
          <w:rFonts w:cs="Times New Roman"/>
          <w:b w:val="0"/>
          <w:spacing w:val="-1"/>
          <w:szCs w:val="24"/>
        </w:rPr>
        <w:t xml:space="preserve"> </w:t>
      </w:r>
      <w:r w:rsidR="00405D0D" w:rsidRPr="00924659">
        <w:rPr>
          <w:rFonts w:cs="Times New Roman"/>
          <w:b w:val="0"/>
          <w:spacing w:val="-1"/>
          <w:szCs w:val="24"/>
        </w:rPr>
        <w:t xml:space="preserve">çalışmalarda, </w:t>
      </w:r>
      <w:proofErr w:type="spellStart"/>
      <w:r w:rsidR="00DC1478" w:rsidRPr="00924659">
        <w:rPr>
          <w:rFonts w:cs="Times New Roman"/>
          <w:b w:val="0"/>
          <w:spacing w:val="-1"/>
          <w:szCs w:val="24"/>
        </w:rPr>
        <w:t>nateglinid</w:t>
      </w:r>
      <w:proofErr w:type="spellEnd"/>
      <w:r w:rsidR="00405D0D" w:rsidRPr="00924659">
        <w:rPr>
          <w:rFonts w:cs="Times New Roman"/>
          <w:b w:val="0"/>
          <w:spacing w:val="-1"/>
          <w:szCs w:val="24"/>
        </w:rPr>
        <w:t xml:space="preserve"> doz</w:t>
      </w:r>
      <w:r w:rsidR="00DC1478" w:rsidRPr="00924659">
        <w:rPr>
          <w:rFonts w:cs="Times New Roman"/>
          <w:b w:val="0"/>
          <w:spacing w:val="-1"/>
          <w:szCs w:val="24"/>
        </w:rPr>
        <w:t xml:space="preserve"> aşımıyla hiç karşılaşılmamıştır. </w:t>
      </w:r>
      <w:r w:rsidR="00405D0D" w:rsidRPr="00924659">
        <w:rPr>
          <w:rFonts w:cs="Times New Roman"/>
          <w:b w:val="0"/>
          <w:spacing w:val="-1"/>
          <w:szCs w:val="24"/>
        </w:rPr>
        <w:t xml:space="preserve">Ancak olası bir aşın doz, abartılı bir </w:t>
      </w:r>
      <w:proofErr w:type="spellStart"/>
      <w:r w:rsidR="00405D0D" w:rsidRPr="00924659">
        <w:rPr>
          <w:rFonts w:cs="Times New Roman"/>
          <w:b w:val="0"/>
          <w:spacing w:val="-1"/>
          <w:szCs w:val="24"/>
        </w:rPr>
        <w:t>glukoz</w:t>
      </w:r>
      <w:proofErr w:type="spellEnd"/>
      <w:r w:rsidR="00405D0D" w:rsidRPr="00924659">
        <w:rPr>
          <w:rFonts w:cs="Times New Roman"/>
          <w:b w:val="0"/>
          <w:spacing w:val="-1"/>
          <w:szCs w:val="24"/>
        </w:rPr>
        <w:t xml:space="preserve"> düzeyini düşürücü etki oluşması ve bununla birlikte hipoglisemi semptomla</w:t>
      </w:r>
      <w:r w:rsidRPr="00924659">
        <w:rPr>
          <w:rFonts w:cs="Times New Roman"/>
          <w:b w:val="0"/>
          <w:spacing w:val="-1"/>
          <w:szCs w:val="24"/>
        </w:rPr>
        <w:t>rı</w:t>
      </w:r>
      <w:r w:rsidR="00405D0D" w:rsidRPr="00924659">
        <w:rPr>
          <w:rFonts w:cs="Times New Roman"/>
          <w:b w:val="0"/>
          <w:spacing w:val="-1"/>
          <w:szCs w:val="24"/>
        </w:rPr>
        <w:t>nın gelişmesiyle sonuçlanabilir.</w:t>
      </w:r>
    </w:p>
    <w:p w:rsidR="00AB5541" w:rsidRPr="00924659" w:rsidRDefault="00AB5541" w:rsidP="00EB30C8">
      <w:pPr>
        <w:shd w:val="clear" w:color="auto" w:fill="FFFFFF"/>
        <w:spacing w:line="276" w:lineRule="auto"/>
        <w:ind w:right="14"/>
        <w:jc w:val="both"/>
        <w:rPr>
          <w:rFonts w:cs="Times New Roman"/>
          <w:b w:val="0"/>
          <w:spacing w:val="-1"/>
          <w:szCs w:val="24"/>
        </w:rPr>
      </w:pPr>
    </w:p>
    <w:p w:rsidR="00405D0D" w:rsidRPr="00924659" w:rsidRDefault="00405D0D" w:rsidP="00EB30C8">
      <w:pPr>
        <w:shd w:val="clear" w:color="auto" w:fill="FFFFFF"/>
        <w:spacing w:line="276" w:lineRule="auto"/>
        <w:ind w:right="14"/>
        <w:jc w:val="both"/>
        <w:rPr>
          <w:rFonts w:cs="Times New Roman"/>
          <w:spacing w:val="-1"/>
          <w:szCs w:val="24"/>
        </w:rPr>
      </w:pPr>
      <w:r w:rsidRPr="00924659">
        <w:rPr>
          <w:rFonts w:cs="Times New Roman"/>
          <w:spacing w:val="-1"/>
          <w:szCs w:val="24"/>
        </w:rPr>
        <w:t>Tedavi</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Bilinç kaybının veya nörolojik bulgula</w:t>
      </w:r>
      <w:r w:rsidR="00206A9C" w:rsidRPr="00924659">
        <w:rPr>
          <w:rFonts w:cs="Times New Roman"/>
          <w:b w:val="0"/>
          <w:spacing w:val="-1"/>
          <w:szCs w:val="24"/>
        </w:rPr>
        <w:t>rı</w:t>
      </w:r>
      <w:r w:rsidRPr="00924659">
        <w:rPr>
          <w:rFonts w:cs="Times New Roman"/>
          <w:b w:val="0"/>
          <w:spacing w:val="-1"/>
          <w:szCs w:val="24"/>
        </w:rPr>
        <w:t>n eşlik</w:t>
      </w:r>
      <w:r w:rsidR="00DC1478" w:rsidRPr="00924659">
        <w:rPr>
          <w:rFonts w:cs="Times New Roman"/>
          <w:b w:val="0"/>
          <w:spacing w:val="-1"/>
          <w:szCs w:val="24"/>
        </w:rPr>
        <w:t xml:space="preserve"> etmediği hipoglisemi semptomları</w:t>
      </w:r>
      <w:r w:rsidRPr="00924659">
        <w:rPr>
          <w:rFonts w:cs="Times New Roman"/>
          <w:b w:val="0"/>
          <w:spacing w:val="-1"/>
          <w:szCs w:val="24"/>
        </w:rPr>
        <w:t xml:space="preserve">, oral </w:t>
      </w:r>
      <w:proofErr w:type="spellStart"/>
      <w:r w:rsidRPr="00924659">
        <w:rPr>
          <w:rFonts w:cs="Times New Roman"/>
          <w:b w:val="0"/>
          <w:spacing w:val="-1"/>
          <w:szCs w:val="24"/>
        </w:rPr>
        <w:t>glukoz</w:t>
      </w:r>
      <w:proofErr w:type="spellEnd"/>
      <w:r w:rsidRPr="00924659">
        <w:rPr>
          <w:rFonts w:cs="Times New Roman"/>
          <w:b w:val="0"/>
          <w:spacing w:val="-1"/>
          <w:szCs w:val="24"/>
        </w:rPr>
        <w:t xml:space="preserve"> kullanılarak ve </w:t>
      </w:r>
      <w:proofErr w:type="spellStart"/>
      <w:r w:rsidRPr="00924659">
        <w:rPr>
          <w:rFonts w:cs="Times New Roman"/>
          <w:b w:val="0"/>
          <w:spacing w:val="-1"/>
          <w:szCs w:val="24"/>
        </w:rPr>
        <w:t>pozolojide</w:t>
      </w:r>
      <w:proofErr w:type="spellEnd"/>
      <w:r w:rsidRPr="00924659">
        <w:rPr>
          <w:rFonts w:cs="Times New Roman"/>
          <w:b w:val="0"/>
          <w:spacing w:val="-1"/>
          <w:szCs w:val="24"/>
        </w:rPr>
        <w:t xml:space="preserve"> ve/veya yemek saatlerinde gerekli değişiklikler yapılarak tedavi edilmelidir. Koma, kriz veya diğer nörolojik semptomlarla birlikte gelişen şiddetli hipoglisemi reaksiyonla</w:t>
      </w:r>
      <w:r w:rsidR="00206A9C" w:rsidRPr="00924659">
        <w:rPr>
          <w:rFonts w:cs="Times New Roman"/>
          <w:b w:val="0"/>
          <w:spacing w:val="-1"/>
          <w:szCs w:val="24"/>
        </w:rPr>
        <w:t>rı</w:t>
      </w:r>
      <w:r w:rsidRPr="00924659">
        <w:rPr>
          <w:rFonts w:cs="Times New Roman"/>
          <w:b w:val="0"/>
          <w:spacing w:val="-1"/>
          <w:szCs w:val="24"/>
        </w:rPr>
        <w:t xml:space="preserve">, </w:t>
      </w:r>
      <w:proofErr w:type="spellStart"/>
      <w:r w:rsidRPr="00924659">
        <w:rPr>
          <w:rFonts w:cs="Times New Roman"/>
          <w:b w:val="0"/>
          <w:spacing w:val="-1"/>
          <w:szCs w:val="24"/>
        </w:rPr>
        <w:t>intravenöz</w:t>
      </w:r>
      <w:proofErr w:type="spellEnd"/>
      <w:r w:rsidRPr="00924659">
        <w:rPr>
          <w:rFonts w:cs="Times New Roman"/>
          <w:b w:val="0"/>
          <w:spacing w:val="-1"/>
          <w:szCs w:val="24"/>
        </w:rPr>
        <w:t xml:space="preserve"> </w:t>
      </w:r>
      <w:proofErr w:type="spellStart"/>
      <w:r w:rsidRPr="00924659">
        <w:rPr>
          <w:rFonts w:cs="Times New Roman"/>
          <w:b w:val="0"/>
          <w:spacing w:val="-1"/>
          <w:szCs w:val="24"/>
        </w:rPr>
        <w:t>glukoz</w:t>
      </w:r>
      <w:proofErr w:type="spellEnd"/>
      <w:r w:rsidRPr="00924659">
        <w:rPr>
          <w:rFonts w:cs="Times New Roman"/>
          <w:b w:val="0"/>
          <w:spacing w:val="-1"/>
          <w:szCs w:val="24"/>
        </w:rPr>
        <w:t xml:space="preserve"> verilerek tedavi edilmelidir. </w:t>
      </w:r>
      <w:proofErr w:type="spellStart"/>
      <w:r w:rsidRPr="00924659">
        <w:rPr>
          <w:rFonts w:cs="Times New Roman"/>
          <w:b w:val="0"/>
          <w:spacing w:val="-1"/>
          <w:szCs w:val="24"/>
        </w:rPr>
        <w:t>Nateglinid</w:t>
      </w:r>
      <w:proofErr w:type="spellEnd"/>
      <w:r w:rsidRPr="00924659">
        <w:rPr>
          <w:rFonts w:cs="Times New Roman"/>
          <w:b w:val="0"/>
          <w:spacing w:val="-1"/>
          <w:szCs w:val="24"/>
        </w:rPr>
        <w:t>, plazma proteinlerine yüksek oranda bağlı bulunduğundan diyaliz, ilacın kandan uzaklaşt</w:t>
      </w:r>
      <w:r w:rsidR="00206A9C" w:rsidRPr="00924659">
        <w:rPr>
          <w:rFonts w:cs="Times New Roman"/>
          <w:b w:val="0"/>
          <w:spacing w:val="-1"/>
          <w:szCs w:val="24"/>
        </w:rPr>
        <w:t>ırı</w:t>
      </w:r>
      <w:r w:rsidRPr="00924659">
        <w:rPr>
          <w:rFonts w:cs="Times New Roman"/>
          <w:b w:val="0"/>
          <w:spacing w:val="-1"/>
          <w:szCs w:val="24"/>
        </w:rPr>
        <w:t>lması amacıyla kullanılabilecek, etkili bir yöntem değildir.</w:t>
      </w:r>
    </w:p>
    <w:p w:rsidR="00AB5541" w:rsidRPr="00924659" w:rsidRDefault="00AB5541" w:rsidP="00EB30C8">
      <w:pPr>
        <w:shd w:val="clear" w:color="auto" w:fill="FFFFFF"/>
        <w:spacing w:line="276" w:lineRule="auto"/>
        <w:ind w:right="14"/>
        <w:jc w:val="both"/>
        <w:rPr>
          <w:rFonts w:cs="Times New Roman"/>
          <w:b w:val="0"/>
          <w:spacing w:val="-1"/>
          <w:szCs w:val="24"/>
        </w:rPr>
      </w:pPr>
    </w:p>
    <w:p w:rsidR="00405D0D" w:rsidRPr="00924659" w:rsidRDefault="00405D0D" w:rsidP="00EB30C8">
      <w:pPr>
        <w:shd w:val="clear" w:color="auto" w:fill="FFFFFF"/>
        <w:spacing w:line="276" w:lineRule="auto"/>
        <w:jc w:val="both"/>
        <w:rPr>
          <w:rFonts w:cs="Times New Roman"/>
          <w:spacing w:val="-6"/>
          <w:szCs w:val="24"/>
        </w:rPr>
      </w:pPr>
      <w:r w:rsidRPr="00924659">
        <w:rPr>
          <w:rFonts w:cs="Times New Roman"/>
          <w:spacing w:val="-6"/>
          <w:szCs w:val="24"/>
        </w:rPr>
        <w:t>5.</w:t>
      </w:r>
      <w:r w:rsidR="00A214B7" w:rsidRPr="00924659">
        <w:rPr>
          <w:rFonts w:cs="Times New Roman"/>
          <w:spacing w:val="-6"/>
          <w:szCs w:val="24"/>
        </w:rPr>
        <w:t xml:space="preserve"> </w:t>
      </w:r>
      <w:r w:rsidRPr="00924659">
        <w:rPr>
          <w:rFonts w:cs="Times New Roman"/>
          <w:spacing w:val="-6"/>
          <w:szCs w:val="24"/>
        </w:rPr>
        <w:t>FARMAKOLOJİK ÖZELLİKLER</w:t>
      </w:r>
    </w:p>
    <w:p w:rsidR="00405D0D" w:rsidRPr="00924659" w:rsidRDefault="00405D0D" w:rsidP="00EB30C8">
      <w:pPr>
        <w:shd w:val="clear" w:color="auto" w:fill="FFFFFF"/>
        <w:spacing w:line="276" w:lineRule="auto"/>
        <w:jc w:val="both"/>
        <w:rPr>
          <w:rFonts w:cs="Times New Roman"/>
          <w:spacing w:val="-6"/>
          <w:szCs w:val="24"/>
        </w:rPr>
      </w:pPr>
      <w:r w:rsidRPr="00924659">
        <w:rPr>
          <w:rFonts w:cs="Times New Roman"/>
          <w:spacing w:val="-6"/>
          <w:szCs w:val="24"/>
        </w:rPr>
        <w:t>5.1.</w:t>
      </w:r>
      <w:r w:rsidR="00A214B7" w:rsidRPr="00924659">
        <w:rPr>
          <w:rFonts w:cs="Times New Roman"/>
          <w:spacing w:val="-6"/>
          <w:szCs w:val="24"/>
        </w:rPr>
        <w:t xml:space="preserve"> </w:t>
      </w:r>
      <w:r w:rsidRPr="00924659">
        <w:rPr>
          <w:rFonts w:cs="Times New Roman"/>
          <w:spacing w:val="-6"/>
          <w:szCs w:val="24"/>
        </w:rPr>
        <w:t>Farmakodinamik özellikler</w:t>
      </w:r>
    </w:p>
    <w:p w:rsidR="00AB5541" w:rsidRPr="00924659" w:rsidRDefault="00405D0D"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Farmakoterapötik</w:t>
      </w:r>
      <w:proofErr w:type="spellEnd"/>
      <w:r w:rsidRPr="00924659">
        <w:rPr>
          <w:rFonts w:cs="Times New Roman"/>
          <w:b w:val="0"/>
          <w:spacing w:val="-1"/>
          <w:szCs w:val="24"/>
        </w:rPr>
        <w:t xml:space="preserve"> grup: Kan şekerini düşüren diğer ilaçlar, </w:t>
      </w:r>
      <w:proofErr w:type="spellStart"/>
      <w:r w:rsidRPr="00924659">
        <w:rPr>
          <w:rFonts w:cs="Times New Roman"/>
          <w:b w:val="0"/>
          <w:spacing w:val="-1"/>
          <w:szCs w:val="24"/>
        </w:rPr>
        <w:t>İnsülinler</w:t>
      </w:r>
      <w:proofErr w:type="spellEnd"/>
      <w:r w:rsidRPr="00924659">
        <w:rPr>
          <w:rFonts w:cs="Times New Roman"/>
          <w:b w:val="0"/>
          <w:spacing w:val="-1"/>
          <w:szCs w:val="24"/>
        </w:rPr>
        <w:t xml:space="preserve"> hariç </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ATC kodu: A10BX03</w:t>
      </w:r>
    </w:p>
    <w:p w:rsidR="00AB5541" w:rsidRPr="00924659" w:rsidRDefault="00AB5541" w:rsidP="00EB30C8">
      <w:pPr>
        <w:shd w:val="clear" w:color="auto" w:fill="FFFFFF"/>
        <w:spacing w:line="276" w:lineRule="auto"/>
        <w:ind w:right="14"/>
        <w:jc w:val="both"/>
        <w:rPr>
          <w:rFonts w:cs="Times New Roman"/>
          <w:b w:val="0"/>
          <w:spacing w:val="-1"/>
          <w:szCs w:val="24"/>
        </w:rPr>
      </w:pPr>
    </w:p>
    <w:p w:rsidR="00405D0D" w:rsidRPr="00924659" w:rsidRDefault="00405D0D"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Nateglinid</w:t>
      </w:r>
      <w:proofErr w:type="spellEnd"/>
      <w:r w:rsidRPr="00924659">
        <w:rPr>
          <w:rFonts w:cs="Times New Roman"/>
          <w:b w:val="0"/>
          <w:spacing w:val="-1"/>
          <w:szCs w:val="24"/>
        </w:rPr>
        <w:t xml:space="preserve">, kimyasal ve farmakolojik bakımdan diğer </w:t>
      </w:r>
      <w:proofErr w:type="spellStart"/>
      <w:r w:rsidRPr="00924659">
        <w:rPr>
          <w:rFonts w:cs="Times New Roman"/>
          <w:b w:val="0"/>
          <w:spacing w:val="-1"/>
          <w:szCs w:val="24"/>
        </w:rPr>
        <w:t>antidiyabetiklerden</w:t>
      </w:r>
      <w:proofErr w:type="spellEnd"/>
      <w:r w:rsidRPr="00924659">
        <w:rPr>
          <w:rFonts w:cs="Times New Roman"/>
          <w:b w:val="0"/>
          <w:spacing w:val="-1"/>
          <w:szCs w:val="24"/>
        </w:rPr>
        <w:t xml:space="preserve"> farklı olan bir aminoasit (</w:t>
      </w:r>
      <w:proofErr w:type="spellStart"/>
      <w:r w:rsidRPr="00924659">
        <w:rPr>
          <w:rFonts w:cs="Times New Roman"/>
          <w:b w:val="0"/>
          <w:spacing w:val="-1"/>
          <w:szCs w:val="24"/>
        </w:rPr>
        <w:t>fenilalanin</w:t>
      </w:r>
      <w:proofErr w:type="spellEnd"/>
      <w:r w:rsidRPr="00924659">
        <w:rPr>
          <w:rFonts w:cs="Times New Roman"/>
          <w:b w:val="0"/>
          <w:spacing w:val="-1"/>
          <w:szCs w:val="24"/>
        </w:rPr>
        <w:t xml:space="preserve">) türevidir. Erken faz </w:t>
      </w:r>
      <w:proofErr w:type="spellStart"/>
      <w:r w:rsidRPr="00924659">
        <w:rPr>
          <w:rFonts w:cs="Times New Roman"/>
          <w:b w:val="0"/>
          <w:spacing w:val="-1"/>
          <w:szCs w:val="24"/>
        </w:rPr>
        <w:t>insülin</w:t>
      </w:r>
      <w:proofErr w:type="spellEnd"/>
      <w:r w:rsidRPr="00924659">
        <w:rPr>
          <w:rFonts w:cs="Times New Roman"/>
          <w:b w:val="0"/>
          <w:spacing w:val="-1"/>
          <w:szCs w:val="24"/>
        </w:rPr>
        <w:t xml:space="preserve"> salgılanmasını sağlayarak, yemekten sonraki kan şekeri ve </w:t>
      </w:r>
      <w:proofErr w:type="spellStart"/>
      <w:r w:rsidRPr="00924659">
        <w:rPr>
          <w:rFonts w:cs="Times New Roman"/>
          <w:b w:val="0"/>
          <w:spacing w:val="-1"/>
          <w:szCs w:val="24"/>
        </w:rPr>
        <w:t>HbAıc</w:t>
      </w:r>
      <w:proofErr w:type="spellEnd"/>
      <w:r w:rsidRPr="00924659">
        <w:rPr>
          <w:rFonts w:cs="Times New Roman"/>
          <w:b w:val="0"/>
          <w:spacing w:val="-1"/>
          <w:szCs w:val="24"/>
        </w:rPr>
        <w:t xml:space="preserve"> yükselmesini azaltır.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Erken faz </w:t>
      </w:r>
      <w:proofErr w:type="spellStart"/>
      <w:r w:rsidRPr="00924659">
        <w:rPr>
          <w:rFonts w:cs="Times New Roman"/>
          <w:b w:val="0"/>
          <w:spacing w:val="-1"/>
          <w:szCs w:val="24"/>
        </w:rPr>
        <w:t>insülin</w:t>
      </w:r>
      <w:proofErr w:type="spellEnd"/>
      <w:r w:rsidRPr="00924659">
        <w:rPr>
          <w:rFonts w:cs="Times New Roman"/>
          <w:b w:val="0"/>
          <w:spacing w:val="-1"/>
          <w:szCs w:val="24"/>
        </w:rPr>
        <w:t xml:space="preserve"> salgılanması, normal </w:t>
      </w:r>
      <w:proofErr w:type="spellStart"/>
      <w:r w:rsidRPr="00924659">
        <w:rPr>
          <w:rFonts w:cs="Times New Roman"/>
          <w:b w:val="0"/>
          <w:spacing w:val="-1"/>
          <w:szCs w:val="24"/>
        </w:rPr>
        <w:t>glisemi</w:t>
      </w:r>
      <w:proofErr w:type="spellEnd"/>
      <w:r w:rsidRPr="00924659">
        <w:rPr>
          <w:rFonts w:cs="Times New Roman"/>
          <w:b w:val="0"/>
          <w:spacing w:val="-1"/>
          <w:szCs w:val="24"/>
        </w:rPr>
        <w:t xml:space="preserve"> kontrolünün devam ettirilmesi açısından temel bir mekanizmadır. </w:t>
      </w:r>
      <w:proofErr w:type="spellStart"/>
      <w:r w:rsidRPr="00924659">
        <w:rPr>
          <w:rFonts w:cs="Times New Roman"/>
          <w:b w:val="0"/>
          <w:spacing w:val="-1"/>
          <w:szCs w:val="24"/>
        </w:rPr>
        <w:t>Nateglinid</w:t>
      </w:r>
      <w:proofErr w:type="spellEnd"/>
      <w:r w:rsidRPr="00924659">
        <w:rPr>
          <w:rFonts w:cs="Times New Roman"/>
          <w:b w:val="0"/>
          <w:spacing w:val="-1"/>
          <w:szCs w:val="24"/>
        </w:rPr>
        <w:t>, yemekten önce alı</w:t>
      </w:r>
      <w:r w:rsidR="00206A9C" w:rsidRPr="00924659">
        <w:rPr>
          <w:rFonts w:cs="Times New Roman"/>
          <w:b w:val="0"/>
          <w:spacing w:val="-1"/>
          <w:szCs w:val="24"/>
        </w:rPr>
        <w:t>ndığında, tip 2 diyabet hastaları</w:t>
      </w:r>
      <w:r w:rsidRPr="00924659">
        <w:rPr>
          <w:rFonts w:cs="Times New Roman"/>
          <w:b w:val="0"/>
          <w:spacing w:val="-1"/>
          <w:szCs w:val="24"/>
        </w:rPr>
        <w:t xml:space="preserve">nda ortadan kalkmış olan, erken veya ilk faz </w:t>
      </w:r>
      <w:proofErr w:type="spellStart"/>
      <w:r w:rsidRPr="00924659">
        <w:rPr>
          <w:rFonts w:cs="Times New Roman"/>
          <w:b w:val="0"/>
          <w:spacing w:val="-1"/>
          <w:szCs w:val="24"/>
        </w:rPr>
        <w:t>insülin</w:t>
      </w:r>
      <w:proofErr w:type="spellEnd"/>
      <w:r w:rsidRPr="00924659">
        <w:rPr>
          <w:rFonts w:cs="Times New Roman"/>
          <w:b w:val="0"/>
          <w:spacing w:val="-1"/>
          <w:szCs w:val="24"/>
        </w:rPr>
        <w:t xml:space="preserve"> salgılanmasını yeniden sağlar. Bu etki, pankreastaki beta-hücrelerinde bulunan K</w:t>
      </w:r>
      <w:r w:rsidRPr="00924659">
        <w:rPr>
          <w:rFonts w:cs="Times New Roman"/>
          <w:b w:val="0"/>
          <w:spacing w:val="-1"/>
          <w:szCs w:val="24"/>
          <w:vertAlign w:val="superscript"/>
        </w:rPr>
        <w:t>+</w:t>
      </w:r>
      <w:r w:rsidR="005257CE" w:rsidRPr="00924659">
        <w:rPr>
          <w:rFonts w:cs="Times New Roman"/>
          <w:b w:val="0"/>
          <w:spacing w:val="-1"/>
          <w:szCs w:val="24"/>
          <w:vertAlign w:val="subscript"/>
        </w:rPr>
        <w:t>ATP</w:t>
      </w:r>
      <w:r w:rsidRPr="00924659">
        <w:rPr>
          <w:rFonts w:cs="Times New Roman"/>
          <w:b w:val="0"/>
          <w:spacing w:val="-1"/>
          <w:szCs w:val="24"/>
        </w:rPr>
        <w:t xml:space="preserve"> kanalıyla hızla gerçekleşen, geçici bir etkileşim sayesinde meydana gelir. </w:t>
      </w:r>
      <w:proofErr w:type="spellStart"/>
      <w:r w:rsidRPr="00924659">
        <w:rPr>
          <w:rFonts w:cs="Times New Roman"/>
          <w:b w:val="0"/>
          <w:spacing w:val="-1"/>
          <w:szCs w:val="24"/>
        </w:rPr>
        <w:t>Elektrofizyoloji</w:t>
      </w:r>
      <w:proofErr w:type="spellEnd"/>
      <w:r w:rsidRPr="00924659">
        <w:rPr>
          <w:rFonts w:cs="Times New Roman"/>
          <w:b w:val="0"/>
          <w:spacing w:val="-1"/>
          <w:szCs w:val="24"/>
        </w:rPr>
        <w:t xml:space="preserve"> ça</w:t>
      </w:r>
      <w:r w:rsidR="00206A9C" w:rsidRPr="00924659">
        <w:rPr>
          <w:rFonts w:cs="Times New Roman"/>
          <w:b w:val="0"/>
          <w:spacing w:val="-1"/>
          <w:szCs w:val="24"/>
        </w:rPr>
        <w:t>lı</w:t>
      </w:r>
      <w:r w:rsidRPr="00924659">
        <w:rPr>
          <w:rFonts w:cs="Times New Roman"/>
          <w:b w:val="0"/>
          <w:spacing w:val="-1"/>
          <w:szCs w:val="24"/>
        </w:rPr>
        <w:t>şmala</w:t>
      </w:r>
      <w:r w:rsidR="00206A9C" w:rsidRPr="00924659">
        <w:rPr>
          <w:rFonts w:cs="Times New Roman"/>
          <w:b w:val="0"/>
          <w:spacing w:val="-1"/>
          <w:szCs w:val="24"/>
        </w:rPr>
        <w:t xml:space="preserve">rı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pankreas beta-hücrelerindeki </w:t>
      </w:r>
      <w:r w:rsidR="005257CE" w:rsidRPr="00924659">
        <w:rPr>
          <w:rFonts w:cs="Times New Roman"/>
          <w:b w:val="0"/>
          <w:spacing w:val="-1"/>
          <w:szCs w:val="24"/>
        </w:rPr>
        <w:t>K</w:t>
      </w:r>
      <w:r w:rsidR="005257CE" w:rsidRPr="00924659">
        <w:rPr>
          <w:rFonts w:cs="Times New Roman"/>
          <w:b w:val="0"/>
          <w:spacing w:val="-1"/>
          <w:szCs w:val="24"/>
          <w:vertAlign w:val="superscript"/>
        </w:rPr>
        <w:t>+</w:t>
      </w:r>
      <w:r w:rsidR="005257CE" w:rsidRPr="00924659">
        <w:rPr>
          <w:rFonts w:cs="Times New Roman"/>
          <w:b w:val="0"/>
          <w:spacing w:val="-1"/>
          <w:szCs w:val="24"/>
          <w:vertAlign w:val="subscript"/>
        </w:rPr>
        <w:t>ATP</w:t>
      </w:r>
      <w:r w:rsidR="005257CE" w:rsidRPr="00924659">
        <w:rPr>
          <w:rFonts w:cs="Times New Roman"/>
          <w:b w:val="0"/>
          <w:spacing w:val="-1"/>
          <w:szCs w:val="24"/>
        </w:rPr>
        <w:t xml:space="preserve"> </w:t>
      </w:r>
      <w:r w:rsidR="00206A9C" w:rsidRPr="00924659">
        <w:rPr>
          <w:rFonts w:cs="Times New Roman"/>
          <w:b w:val="0"/>
          <w:spacing w:val="-1"/>
          <w:szCs w:val="24"/>
        </w:rPr>
        <w:t>kanalları</w:t>
      </w:r>
      <w:r w:rsidRPr="00924659">
        <w:rPr>
          <w:rFonts w:cs="Times New Roman"/>
          <w:b w:val="0"/>
          <w:spacing w:val="-1"/>
          <w:szCs w:val="24"/>
        </w:rPr>
        <w:t xml:space="preserve">ndaki </w:t>
      </w:r>
      <w:proofErr w:type="spellStart"/>
      <w:r w:rsidRPr="00924659">
        <w:rPr>
          <w:rFonts w:cs="Times New Roman"/>
          <w:b w:val="0"/>
          <w:spacing w:val="-1"/>
          <w:szCs w:val="24"/>
        </w:rPr>
        <w:t>selektivitesinin</w:t>
      </w:r>
      <w:proofErr w:type="spellEnd"/>
      <w:r w:rsidRPr="00924659">
        <w:rPr>
          <w:rFonts w:cs="Times New Roman"/>
          <w:b w:val="0"/>
          <w:spacing w:val="-1"/>
          <w:szCs w:val="24"/>
        </w:rPr>
        <w:t xml:space="preserve">, </w:t>
      </w:r>
      <w:proofErr w:type="spellStart"/>
      <w:r w:rsidRPr="00924659">
        <w:rPr>
          <w:rFonts w:cs="Times New Roman"/>
          <w:b w:val="0"/>
          <w:spacing w:val="-1"/>
          <w:szCs w:val="24"/>
        </w:rPr>
        <w:t>kardiyovasküler</w:t>
      </w:r>
      <w:proofErr w:type="spellEnd"/>
      <w:r w:rsidRPr="00924659">
        <w:rPr>
          <w:rFonts w:cs="Times New Roman"/>
          <w:b w:val="0"/>
          <w:spacing w:val="-1"/>
          <w:szCs w:val="24"/>
        </w:rPr>
        <w:t xml:space="preserve"> hücrelerdeki </w:t>
      </w:r>
      <w:r w:rsidR="005257CE" w:rsidRPr="00924659">
        <w:rPr>
          <w:rFonts w:cs="Times New Roman"/>
          <w:b w:val="0"/>
          <w:spacing w:val="-1"/>
          <w:szCs w:val="24"/>
        </w:rPr>
        <w:t>K</w:t>
      </w:r>
      <w:r w:rsidR="005257CE" w:rsidRPr="00924659">
        <w:rPr>
          <w:rFonts w:cs="Times New Roman"/>
          <w:b w:val="0"/>
          <w:spacing w:val="-1"/>
          <w:szCs w:val="24"/>
          <w:vertAlign w:val="superscript"/>
        </w:rPr>
        <w:t>+</w:t>
      </w:r>
      <w:r w:rsidR="005257CE" w:rsidRPr="00924659">
        <w:rPr>
          <w:rFonts w:cs="Times New Roman"/>
          <w:b w:val="0"/>
          <w:spacing w:val="-1"/>
          <w:szCs w:val="24"/>
          <w:vertAlign w:val="subscript"/>
        </w:rPr>
        <w:t>ATP</w:t>
      </w:r>
      <w:r w:rsidR="005257CE" w:rsidRPr="00924659">
        <w:rPr>
          <w:rFonts w:cs="Times New Roman"/>
          <w:b w:val="0"/>
          <w:spacing w:val="-1"/>
          <w:szCs w:val="24"/>
        </w:rPr>
        <w:t xml:space="preserve"> </w:t>
      </w:r>
      <w:r w:rsidR="00206A9C" w:rsidRPr="00924659">
        <w:rPr>
          <w:rFonts w:cs="Times New Roman"/>
          <w:b w:val="0"/>
          <w:spacing w:val="-1"/>
          <w:szCs w:val="24"/>
        </w:rPr>
        <w:t>kanalların</w:t>
      </w:r>
      <w:r w:rsidRPr="00924659">
        <w:rPr>
          <w:rFonts w:cs="Times New Roman"/>
          <w:b w:val="0"/>
          <w:spacing w:val="-1"/>
          <w:szCs w:val="24"/>
        </w:rPr>
        <w:t xml:space="preserve">daki </w:t>
      </w:r>
      <w:proofErr w:type="spellStart"/>
      <w:r w:rsidRPr="00924659">
        <w:rPr>
          <w:rFonts w:cs="Times New Roman"/>
          <w:b w:val="0"/>
          <w:spacing w:val="-1"/>
          <w:szCs w:val="24"/>
        </w:rPr>
        <w:t>selektivitesinin</w:t>
      </w:r>
      <w:proofErr w:type="spellEnd"/>
      <w:r w:rsidRPr="00924659">
        <w:rPr>
          <w:rFonts w:cs="Times New Roman"/>
          <w:b w:val="0"/>
          <w:spacing w:val="-1"/>
          <w:szCs w:val="24"/>
        </w:rPr>
        <w:t xml:space="preserve"> 300 katından daha fazla olduğunu göstermiştir.</w:t>
      </w:r>
    </w:p>
    <w:p w:rsidR="007F1D13" w:rsidRPr="00924659" w:rsidRDefault="003D10D8" w:rsidP="00EB30C8">
      <w:pPr>
        <w:shd w:val="clear" w:color="auto" w:fill="FFFFFF"/>
        <w:spacing w:line="276" w:lineRule="auto"/>
        <w:ind w:right="14"/>
        <w:jc w:val="both"/>
        <w:rPr>
          <w:b w:val="0"/>
          <w:szCs w:val="24"/>
        </w:rPr>
      </w:pPr>
      <w:r w:rsidRPr="00924659">
        <w:rPr>
          <w:rFonts w:cs="Times New Roman"/>
          <w:b w:val="0"/>
          <w:spacing w:val="-1"/>
          <w:szCs w:val="24"/>
        </w:rPr>
        <w:t>İNGLEX</w:t>
      </w:r>
      <w:r w:rsidR="00405D0D" w:rsidRPr="00924659">
        <w:rPr>
          <w:rFonts w:cs="Times New Roman"/>
          <w:b w:val="0"/>
          <w:spacing w:val="-1"/>
          <w:szCs w:val="24"/>
        </w:rPr>
        <w:t xml:space="preserve"> hızla emilir ve oral yolla uygulamadan sonraki 15 dakika içinde </w:t>
      </w:r>
      <w:proofErr w:type="spellStart"/>
      <w:r w:rsidR="00405D0D" w:rsidRPr="00924659">
        <w:rPr>
          <w:rFonts w:cs="Times New Roman"/>
          <w:b w:val="0"/>
          <w:spacing w:val="-1"/>
          <w:szCs w:val="24"/>
        </w:rPr>
        <w:t>pankreatik</w:t>
      </w:r>
      <w:proofErr w:type="spellEnd"/>
      <w:r w:rsidR="00405D0D" w:rsidRPr="00924659">
        <w:rPr>
          <w:rFonts w:cs="Times New Roman"/>
          <w:b w:val="0"/>
          <w:spacing w:val="-1"/>
          <w:szCs w:val="24"/>
        </w:rPr>
        <w:t xml:space="preserve"> </w:t>
      </w:r>
      <w:proofErr w:type="spellStart"/>
      <w:r w:rsidR="00405D0D" w:rsidRPr="00924659">
        <w:rPr>
          <w:rFonts w:cs="Times New Roman"/>
          <w:b w:val="0"/>
          <w:spacing w:val="-1"/>
          <w:szCs w:val="24"/>
        </w:rPr>
        <w:t>insülin</w:t>
      </w:r>
      <w:proofErr w:type="spellEnd"/>
      <w:r w:rsidR="00405D0D" w:rsidRPr="00924659">
        <w:rPr>
          <w:rFonts w:cs="Times New Roman"/>
          <w:b w:val="0"/>
          <w:spacing w:val="-1"/>
          <w:szCs w:val="24"/>
        </w:rPr>
        <w:t xml:space="preserve"> </w:t>
      </w:r>
      <w:proofErr w:type="spellStart"/>
      <w:r w:rsidR="00206A9C" w:rsidRPr="00924659">
        <w:rPr>
          <w:rFonts w:cs="Times New Roman"/>
          <w:b w:val="0"/>
          <w:spacing w:val="-1"/>
          <w:szCs w:val="24"/>
        </w:rPr>
        <w:t>sekresyonunu</w:t>
      </w:r>
      <w:proofErr w:type="spellEnd"/>
      <w:r w:rsidR="00206A9C" w:rsidRPr="00924659">
        <w:rPr>
          <w:rFonts w:cs="Times New Roman"/>
          <w:b w:val="0"/>
          <w:spacing w:val="-1"/>
          <w:szCs w:val="24"/>
        </w:rPr>
        <w:t xml:space="preserve"> uyarı</w:t>
      </w:r>
      <w:r w:rsidR="00405D0D" w:rsidRPr="00924659">
        <w:rPr>
          <w:rFonts w:cs="Times New Roman"/>
          <w:b w:val="0"/>
          <w:spacing w:val="-1"/>
          <w:szCs w:val="24"/>
        </w:rPr>
        <w:t xml:space="preserve">r. </w:t>
      </w:r>
      <w:r w:rsidRPr="00924659">
        <w:rPr>
          <w:rFonts w:cs="Times New Roman"/>
          <w:b w:val="0"/>
          <w:spacing w:val="-1"/>
          <w:szCs w:val="24"/>
        </w:rPr>
        <w:t>İNGLEX</w:t>
      </w:r>
      <w:r w:rsidR="00405D0D" w:rsidRPr="00924659">
        <w:rPr>
          <w:rFonts w:cs="Times New Roman"/>
          <w:b w:val="0"/>
          <w:spacing w:val="-1"/>
          <w:szCs w:val="24"/>
        </w:rPr>
        <w:t xml:space="preserve"> doz uygulaması günde üç kez yemeklerden önce olacak şekilde yapıldığında plazma </w:t>
      </w:r>
      <w:proofErr w:type="spellStart"/>
      <w:r w:rsidR="00405D0D" w:rsidRPr="00924659">
        <w:rPr>
          <w:rFonts w:cs="Times New Roman"/>
          <w:b w:val="0"/>
          <w:spacing w:val="-1"/>
          <w:szCs w:val="24"/>
        </w:rPr>
        <w:t>insülin</w:t>
      </w:r>
      <w:proofErr w:type="spellEnd"/>
      <w:r w:rsidR="00405D0D" w:rsidRPr="00924659">
        <w:rPr>
          <w:rFonts w:cs="Times New Roman"/>
          <w:b w:val="0"/>
          <w:spacing w:val="-1"/>
          <w:szCs w:val="24"/>
        </w:rPr>
        <w:t xml:space="preserve"> düzeyinde hızlı bir artış görülmektedir</w:t>
      </w:r>
      <w:r w:rsidR="007F1D13" w:rsidRPr="00924659">
        <w:rPr>
          <w:rFonts w:cs="Times New Roman"/>
          <w:b w:val="0"/>
          <w:spacing w:val="-1"/>
          <w:szCs w:val="24"/>
        </w:rPr>
        <w:t>.</w:t>
      </w:r>
      <w:r w:rsidR="00405D0D" w:rsidRPr="00924659">
        <w:rPr>
          <w:rFonts w:cs="Times New Roman"/>
          <w:b w:val="0"/>
          <w:spacing w:val="-1"/>
          <w:szCs w:val="24"/>
        </w:rPr>
        <w:t xml:space="preserve"> </w:t>
      </w:r>
      <w:proofErr w:type="spellStart"/>
      <w:r w:rsidR="007F1D13" w:rsidRPr="00924659">
        <w:rPr>
          <w:b w:val="0"/>
          <w:szCs w:val="24"/>
        </w:rPr>
        <w:t>İnsülin</w:t>
      </w:r>
      <w:proofErr w:type="spellEnd"/>
      <w:r w:rsidR="007F1D13" w:rsidRPr="00924659">
        <w:rPr>
          <w:b w:val="0"/>
          <w:szCs w:val="24"/>
        </w:rPr>
        <w:t xml:space="preserve"> seviyesi uygulamadan sonraki 3 - 4 saat içerisinde başlangıç düzeylerine geri döner. </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Pankreastaki beta-hücrelerinde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etkisiyle gerçekleşen </w:t>
      </w:r>
      <w:proofErr w:type="spellStart"/>
      <w:r w:rsidRPr="00924659">
        <w:rPr>
          <w:rFonts w:cs="Times New Roman"/>
          <w:b w:val="0"/>
          <w:spacing w:val="-1"/>
          <w:szCs w:val="24"/>
        </w:rPr>
        <w:t>insülin</w:t>
      </w:r>
      <w:proofErr w:type="spellEnd"/>
      <w:r w:rsidRPr="00924659">
        <w:rPr>
          <w:rFonts w:cs="Times New Roman"/>
          <w:b w:val="0"/>
          <w:spacing w:val="-1"/>
          <w:szCs w:val="24"/>
        </w:rPr>
        <w:t xml:space="preserve"> salgılanması, kandaki </w:t>
      </w:r>
      <w:proofErr w:type="spellStart"/>
      <w:r w:rsidRPr="00924659">
        <w:rPr>
          <w:rFonts w:cs="Times New Roman"/>
          <w:b w:val="0"/>
          <w:spacing w:val="-1"/>
          <w:szCs w:val="24"/>
        </w:rPr>
        <w:t>glukoz</w:t>
      </w:r>
      <w:proofErr w:type="spellEnd"/>
      <w:r w:rsidRPr="00924659">
        <w:rPr>
          <w:rFonts w:cs="Times New Roman"/>
          <w:b w:val="0"/>
          <w:spacing w:val="-1"/>
          <w:szCs w:val="24"/>
        </w:rPr>
        <w:t xml:space="preserve"> düzeylerine göre ayarlanır ve </w:t>
      </w:r>
      <w:proofErr w:type="spellStart"/>
      <w:r w:rsidRPr="00924659">
        <w:rPr>
          <w:rFonts w:cs="Times New Roman"/>
          <w:b w:val="0"/>
          <w:spacing w:val="-1"/>
          <w:szCs w:val="24"/>
        </w:rPr>
        <w:t>glukoz</w:t>
      </w:r>
      <w:proofErr w:type="spellEnd"/>
      <w:r w:rsidRPr="00924659">
        <w:rPr>
          <w:rFonts w:cs="Times New Roman"/>
          <w:b w:val="0"/>
          <w:spacing w:val="-1"/>
          <w:szCs w:val="24"/>
        </w:rPr>
        <w:t xml:space="preserve"> düzeyleri düştükçe, salgılanan </w:t>
      </w:r>
      <w:proofErr w:type="spellStart"/>
      <w:r w:rsidRPr="00924659">
        <w:rPr>
          <w:rFonts w:cs="Times New Roman"/>
          <w:b w:val="0"/>
          <w:spacing w:val="-1"/>
          <w:szCs w:val="24"/>
        </w:rPr>
        <w:t>insülin</w:t>
      </w:r>
      <w:proofErr w:type="spellEnd"/>
      <w:r w:rsidRPr="00924659">
        <w:rPr>
          <w:rFonts w:cs="Times New Roman"/>
          <w:b w:val="0"/>
          <w:spacing w:val="-1"/>
          <w:szCs w:val="24"/>
        </w:rPr>
        <w:t xml:space="preserve"> mikta</w:t>
      </w:r>
      <w:r w:rsidR="00206A9C" w:rsidRPr="00924659">
        <w:rPr>
          <w:rFonts w:cs="Times New Roman"/>
          <w:b w:val="0"/>
          <w:spacing w:val="-1"/>
          <w:szCs w:val="24"/>
        </w:rPr>
        <w:t>rı</w:t>
      </w:r>
      <w:r w:rsidRPr="00924659">
        <w:rPr>
          <w:rFonts w:cs="Times New Roman"/>
          <w:b w:val="0"/>
          <w:spacing w:val="-1"/>
          <w:szCs w:val="24"/>
        </w:rPr>
        <w:t xml:space="preserve"> da </w:t>
      </w:r>
      <w:r w:rsidR="00206A9C" w:rsidRPr="00924659">
        <w:rPr>
          <w:rFonts w:cs="Times New Roman"/>
          <w:b w:val="0"/>
          <w:spacing w:val="-1"/>
          <w:szCs w:val="24"/>
        </w:rPr>
        <w:t>azalır. Tersine, yiyecek alı</w:t>
      </w:r>
      <w:r w:rsidRPr="00924659">
        <w:rPr>
          <w:rFonts w:cs="Times New Roman"/>
          <w:b w:val="0"/>
          <w:spacing w:val="-1"/>
          <w:szCs w:val="24"/>
        </w:rPr>
        <w:t xml:space="preserve">nması ya da </w:t>
      </w:r>
      <w:proofErr w:type="spellStart"/>
      <w:r w:rsidRPr="00924659">
        <w:rPr>
          <w:rFonts w:cs="Times New Roman"/>
          <w:b w:val="0"/>
          <w:spacing w:val="-1"/>
          <w:szCs w:val="24"/>
        </w:rPr>
        <w:t>glukoz</w:t>
      </w:r>
      <w:proofErr w:type="spellEnd"/>
      <w:r w:rsidRPr="00924659">
        <w:rPr>
          <w:rFonts w:cs="Times New Roman"/>
          <w:b w:val="0"/>
          <w:spacing w:val="-1"/>
          <w:szCs w:val="24"/>
        </w:rPr>
        <w:t xml:space="preserve"> </w:t>
      </w:r>
      <w:proofErr w:type="spellStart"/>
      <w:r w:rsidRPr="00924659">
        <w:rPr>
          <w:rFonts w:cs="Times New Roman"/>
          <w:b w:val="0"/>
          <w:spacing w:val="-1"/>
          <w:szCs w:val="24"/>
        </w:rPr>
        <w:t>infüzyonu</w:t>
      </w:r>
      <w:proofErr w:type="spellEnd"/>
      <w:r w:rsidRPr="00924659">
        <w:rPr>
          <w:rFonts w:cs="Times New Roman"/>
          <w:b w:val="0"/>
          <w:spacing w:val="-1"/>
          <w:szCs w:val="24"/>
        </w:rPr>
        <w:t xml:space="preserve"> </w:t>
      </w:r>
      <w:proofErr w:type="spellStart"/>
      <w:r w:rsidRPr="00924659">
        <w:rPr>
          <w:rFonts w:cs="Times New Roman"/>
          <w:b w:val="0"/>
          <w:spacing w:val="-1"/>
          <w:szCs w:val="24"/>
        </w:rPr>
        <w:t>insülin</w:t>
      </w:r>
      <w:proofErr w:type="spellEnd"/>
      <w:r w:rsidRPr="00924659">
        <w:rPr>
          <w:rFonts w:cs="Times New Roman"/>
          <w:b w:val="0"/>
          <w:spacing w:val="-1"/>
          <w:szCs w:val="24"/>
        </w:rPr>
        <w:t xml:space="preserve"> </w:t>
      </w:r>
      <w:proofErr w:type="spellStart"/>
      <w:r w:rsidRPr="00924659">
        <w:rPr>
          <w:rFonts w:cs="Times New Roman"/>
          <w:b w:val="0"/>
          <w:spacing w:val="-1"/>
          <w:szCs w:val="24"/>
        </w:rPr>
        <w:t>sekresyonunun</w:t>
      </w:r>
      <w:proofErr w:type="spellEnd"/>
      <w:r w:rsidRPr="00924659">
        <w:rPr>
          <w:rFonts w:cs="Times New Roman"/>
          <w:b w:val="0"/>
          <w:spacing w:val="-1"/>
          <w:szCs w:val="24"/>
        </w:rPr>
        <w:t xml:space="preserve"> açıkça artmasıyla sonuçlanır. </w:t>
      </w:r>
      <w:proofErr w:type="spellStart"/>
      <w:r w:rsidR="003D10D8" w:rsidRPr="00924659">
        <w:rPr>
          <w:rFonts w:cs="Times New Roman"/>
          <w:b w:val="0"/>
          <w:spacing w:val="-1"/>
          <w:szCs w:val="24"/>
        </w:rPr>
        <w:t>İNGLEX</w:t>
      </w:r>
      <w:r w:rsidR="00D47FCD" w:rsidRPr="00924659">
        <w:rPr>
          <w:rFonts w:cs="Times New Roman"/>
          <w:b w:val="0"/>
          <w:spacing w:val="-1"/>
          <w:szCs w:val="24"/>
        </w:rPr>
        <w:t>’in</w:t>
      </w:r>
      <w:proofErr w:type="spellEnd"/>
      <w:r w:rsidRPr="00924659">
        <w:rPr>
          <w:rFonts w:cs="Times New Roman"/>
          <w:b w:val="0"/>
          <w:spacing w:val="-1"/>
          <w:szCs w:val="24"/>
        </w:rPr>
        <w:t xml:space="preserve"> plazma </w:t>
      </w:r>
      <w:proofErr w:type="spellStart"/>
      <w:r w:rsidRPr="00924659">
        <w:rPr>
          <w:rFonts w:cs="Times New Roman"/>
          <w:b w:val="0"/>
          <w:spacing w:val="-1"/>
          <w:szCs w:val="24"/>
        </w:rPr>
        <w:t>glukoz</w:t>
      </w:r>
      <w:proofErr w:type="spellEnd"/>
      <w:r w:rsidRPr="00924659">
        <w:rPr>
          <w:rFonts w:cs="Times New Roman"/>
          <w:b w:val="0"/>
          <w:spacing w:val="-1"/>
          <w:szCs w:val="24"/>
        </w:rPr>
        <w:t xml:space="preserve"> düzeyleri düşük olduğunda </w:t>
      </w:r>
      <w:proofErr w:type="spellStart"/>
      <w:r w:rsidRPr="00924659">
        <w:rPr>
          <w:rFonts w:cs="Times New Roman"/>
          <w:b w:val="0"/>
          <w:spacing w:val="-1"/>
          <w:szCs w:val="24"/>
        </w:rPr>
        <w:t>insülin</w:t>
      </w:r>
      <w:proofErr w:type="spellEnd"/>
      <w:r w:rsidRPr="00924659">
        <w:rPr>
          <w:rFonts w:cs="Times New Roman"/>
          <w:b w:val="0"/>
          <w:spacing w:val="-1"/>
          <w:szCs w:val="24"/>
        </w:rPr>
        <w:t xml:space="preserve"> salgılanmasını daha az uyarması, örneğin bir öğün atlandığı zamanlarda görülebilecek hipoglisemiye karşı, ilave bir korunma sağlar.</w:t>
      </w:r>
    </w:p>
    <w:p w:rsidR="007F1D13" w:rsidRPr="00924659" w:rsidRDefault="007F1D13" w:rsidP="007F1D13">
      <w:pPr>
        <w:shd w:val="clear" w:color="auto" w:fill="FFFFFF"/>
        <w:spacing w:line="276" w:lineRule="auto"/>
        <w:ind w:right="14"/>
        <w:jc w:val="both"/>
        <w:rPr>
          <w:b w:val="0"/>
          <w:szCs w:val="24"/>
        </w:rPr>
      </w:pPr>
      <w:r w:rsidRPr="00924659">
        <w:rPr>
          <w:rFonts w:cs="Times New Roman"/>
          <w:b w:val="0"/>
          <w:spacing w:val="-1"/>
          <w:szCs w:val="24"/>
        </w:rPr>
        <w:t>İNGLEX</w:t>
      </w:r>
      <w:r w:rsidRPr="00924659">
        <w:rPr>
          <w:b w:val="0"/>
          <w:szCs w:val="24"/>
        </w:rPr>
        <w:t xml:space="preserve"> ile açlık plazma </w:t>
      </w:r>
      <w:proofErr w:type="spellStart"/>
      <w:r w:rsidRPr="00924659">
        <w:rPr>
          <w:b w:val="0"/>
          <w:szCs w:val="24"/>
        </w:rPr>
        <w:t>glukozunu</w:t>
      </w:r>
      <w:proofErr w:type="spellEnd"/>
      <w:r w:rsidRPr="00924659">
        <w:rPr>
          <w:b w:val="0"/>
          <w:szCs w:val="24"/>
        </w:rPr>
        <w:t xml:space="preserve"> etkileyen </w:t>
      </w:r>
      <w:proofErr w:type="spellStart"/>
      <w:r w:rsidRPr="00924659">
        <w:rPr>
          <w:b w:val="0"/>
          <w:szCs w:val="24"/>
        </w:rPr>
        <w:t>metformin</w:t>
      </w:r>
      <w:proofErr w:type="spellEnd"/>
      <w:r w:rsidRPr="00924659">
        <w:rPr>
          <w:b w:val="0"/>
          <w:szCs w:val="24"/>
        </w:rPr>
        <w:t xml:space="preserve"> kombinasyon halinde kullanıldığında, </w:t>
      </w:r>
      <w:proofErr w:type="spellStart"/>
      <w:r w:rsidRPr="00924659">
        <w:rPr>
          <w:b w:val="0"/>
          <w:szCs w:val="24"/>
        </w:rPr>
        <w:t>HbA</w:t>
      </w:r>
      <w:proofErr w:type="spellEnd"/>
      <w:r w:rsidRPr="00924659">
        <w:rPr>
          <w:b w:val="0"/>
          <w:position w:val="-8"/>
          <w:szCs w:val="24"/>
          <w:vertAlign w:val="subscript"/>
        </w:rPr>
        <w:t xml:space="preserve">1c </w:t>
      </w:r>
      <w:r w:rsidRPr="00924659">
        <w:rPr>
          <w:b w:val="0"/>
          <w:szCs w:val="24"/>
        </w:rPr>
        <w:t xml:space="preserve">üzerindeki etki, tek başına </w:t>
      </w:r>
      <w:r w:rsidRPr="00924659">
        <w:rPr>
          <w:rFonts w:cs="Times New Roman"/>
          <w:b w:val="0"/>
          <w:spacing w:val="-1"/>
          <w:szCs w:val="24"/>
        </w:rPr>
        <w:t>İNGLEX</w:t>
      </w:r>
      <w:r w:rsidRPr="00924659">
        <w:rPr>
          <w:b w:val="0"/>
          <w:szCs w:val="24"/>
        </w:rPr>
        <w:t xml:space="preserve"> veya </w:t>
      </w:r>
      <w:proofErr w:type="spellStart"/>
      <w:r w:rsidRPr="00924659">
        <w:rPr>
          <w:b w:val="0"/>
          <w:szCs w:val="24"/>
        </w:rPr>
        <w:t>metformin</w:t>
      </w:r>
      <w:proofErr w:type="spellEnd"/>
      <w:r w:rsidRPr="00924659">
        <w:rPr>
          <w:b w:val="0"/>
          <w:szCs w:val="24"/>
        </w:rPr>
        <w:t xml:space="preserve"> ile karşılaştırıldığında, maddelerin bütünleyici etki mekanizmaları nedeniyle </w:t>
      </w:r>
      <w:proofErr w:type="spellStart"/>
      <w:r w:rsidRPr="00924659">
        <w:rPr>
          <w:b w:val="0"/>
          <w:szCs w:val="24"/>
        </w:rPr>
        <w:t>sinerjistik</w:t>
      </w:r>
      <w:proofErr w:type="spellEnd"/>
      <w:r w:rsidRPr="00924659">
        <w:rPr>
          <w:b w:val="0"/>
          <w:szCs w:val="24"/>
        </w:rPr>
        <w:t xml:space="preserve"> olmuştur.</w:t>
      </w:r>
    </w:p>
    <w:p w:rsidR="007F1D13" w:rsidRPr="00924659" w:rsidRDefault="007F1D13" w:rsidP="007F1D13">
      <w:pPr>
        <w:pStyle w:val="Default"/>
        <w:spacing w:line="276" w:lineRule="auto"/>
        <w:jc w:val="both"/>
        <w:rPr>
          <w:color w:val="auto"/>
        </w:rPr>
      </w:pPr>
      <w:proofErr w:type="spellStart"/>
      <w:r w:rsidRPr="00924659">
        <w:rPr>
          <w:color w:val="auto"/>
        </w:rPr>
        <w:t>Nateglinidin</w:t>
      </w:r>
      <w:proofErr w:type="spellEnd"/>
      <w:r w:rsidRPr="00924659">
        <w:rPr>
          <w:color w:val="auto"/>
        </w:rPr>
        <w:t xml:space="preserve"> etkililiği, </w:t>
      </w:r>
      <w:proofErr w:type="spellStart"/>
      <w:r w:rsidRPr="00924659">
        <w:rPr>
          <w:color w:val="auto"/>
        </w:rPr>
        <w:t>monoterapide</w:t>
      </w:r>
      <w:proofErr w:type="spellEnd"/>
      <w:r w:rsidRPr="00924659">
        <w:rPr>
          <w:color w:val="auto"/>
        </w:rPr>
        <w:t xml:space="preserve"> </w:t>
      </w:r>
      <w:proofErr w:type="spellStart"/>
      <w:r w:rsidRPr="00924659">
        <w:rPr>
          <w:color w:val="auto"/>
        </w:rPr>
        <w:t>metforminin</w:t>
      </w:r>
      <w:proofErr w:type="spellEnd"/>
      <w:r w:rsidRPr="00924659">
        <w:rPr>
          <w:color w:val="auto"/>
        </w:rPr>
        <w:t xml:space="preserve"> etkililiğinden daha düşüktür (günde üç kez 500 mg </w:t>
      </w:r>
      <w:proofErr w:type="spellStart"/>
      <w:r w:rsidRPr="00924659">
        <w:rPr>
          <w:color w:val="auto"/>
        </w:rPr>
        <w:t>metformin</w:t>
      </w:r>
      <w:proofErr w:type="spellEnd"/>
      <w:r w:rsidRPr="00924659">
        <w:rPr>
          <w:color w:val="auto"/>
        </w:rPr>
        <w:t xml:space="preserve"> </w:t>
      </w:r>
      <w:proofErr w:type="spellStart"/>
      <w:r w:rsidRPr="00924659">
        <w:rPr>
          <w:color w:val="auto"/>
        </w:rPr>
        <w:t>monoterapisi</w:t>
      </w:r>
      <w:proofErr w:type="spellEnd"/>
      <w:r w:rsidRPr="00924659">
        <w:rPr>
          <w:color w:val="auto"/>
        </w:rPr>
        <w:t xml:space="preserve"> ile HbA1c düşüşü (%): –1.23 [%95 GA: –1.48; –0.99] ve günde üç kez 120 mg </w:t>
      </w:r>
      <w:proofErr w:type="spellStart"/>
      <w:r w:rsidRPr="00924659">
        <w:rPr>
          <w:color w:val="auto"/>
        </w:rPr>
        <w:t>nateglinid</w:t>
      </w:r>
      <w:proofErr w:type="spellEnd"/>
      <w:r w:rsidRPr="00924659">
        <w:rPr>
          <w:color w:val="auto"/>
        </w:rPr>
        <w:t xml:space="preserve"> </w:t>
      </w:r>
      <w:proofErr w:type="spellStart"/>
      <w:r w:rsidRPr="00924659">
        <w:rPr>
          <w:color w:val="auto"/>
        </w:rPr>
        <w:t>monoterapisi</w:t>
      </w:r>
      <w:proofErr w:type="spellEnd"/>
      <w:r w:rsidRPr="00924659">
        <w:rPr>
          <w:color w:val="auto"/>
        </w:rPr>
        <w:t xml:space="preserve"> ile: –0.90 [%95 GA: – 1.14; –0.66]). </w:t>
      </w:r>
    </w:p>
    <w:p w:rsidR="007F1D13" w:rsidRPr="00924659" w:rsidRDefault="007F1D13" w:rsidP="007F1D13">
      <w:pPr>
        <w:pStyle w:val="Default"/>
        <w:spacing w:line="276" w:lineRule="auto"/>
        <w:jc w:val="both"/>
        <w:rPr>
          <w:color w:val="auto"/>
        </w:rPr>
      </w:pPr>
      <w:proofErr w:type="spellStart"/>
      <w:r w:rsidRPr="00924659">
        <w:rPr>
          <w:color w:val="auto"/>
        </w:rPr>
        <w:t>Nateglinidin</w:t>
      </w:r>
      <w:proofErr w:type="spellEnd"/>
      <w:r w:rsidRPr="00924659">
        <w:rPr>
          <w:color w:val="auto"/>
        </w:rPr>
        <w:t xml:space="preserve"> </w:t>
      </w:r>
      <w:proofErr w:type="spellStart"/>
      <w:r w:rsidRPr="00924659">
        <w:rPr>
          <w:color w:val="auto"/>
        </w:rPr>
        <w:t>metformin</w:t>
      </w:r>
      <w:proofErr w:type="spellEnd"/>
      <w:r w:rsidRPr="00924659">
        <w:rPr>
          <w:color w:val="auto"/>
        </w:rPr>
        <w:t xml:space="preserve"> ile kombinasyonundaki etkililiği, üstün etkililik tasarımına sahip olan, 262 hastanın yer aldığı 6 aylık, </w:t>
      </w:r>
      <w:proofErr w:type="spellStart"/>
      <w:r w:rsidRPr="00924659">
        <w:rPr>
          <w:color w:val="auto"/>
        </w:rPr>
        <w:t>randomize</w:t>
      </w:r>
      <w:proofErr w:type="spellEnd"/>
      <w:r w:rsidRPr="00924659">
        <w:rPr>
          <w:color w:val="auto"/>
        </w:rPr>
        <w:t xml:space="preserve">, çift kör bir çalışmada </w:t>
      </w:r>
      <w:proofErr w:type="spellStart"/>
      <w:r w:rsidRPr="00924659">
        <w:rPr>
          <w:color w:val="auto"/>
        </w:rPr>
        <w:t>gliklazid</w:t>
      </w:r>
      <w:proofErr w:type="spellEnd"/>
      <w:r w:rsidRPr="00924659">
        <w:rPr>
          <w:color w:val="auto"/>
        </w:rPr>
        <w:t xml:space="preserve"> artı </w:t>
      </w:r>
      <w:proofErr w:type="spellStart"/>
      <w:r w:rsidRPr="00924659">
        <w:rPr>
          <w:color w:val="auto"/>
        </w:rPr>
        <w:t>metformin</w:t>
      </w:r>
      <w:proofErr w:type="spellEnd"/>
      <w:r w:rsidRPr="00924659">
        <w:rPr>
          <w:color w:val="auto"/>
        </w:rPr>
        <w:t xml:space="preserve"> kombinasyonu ile karşılaştırılmıştır. HbA1c değerinde başlangıca göre düşüş </w:t>
      </w:r>
      <w:proofErr w:type="spellStart"/>
      <w:r w:rsidRPr="00924659">
        <w:rPr>
          <w:color w:val="auto"/>
        </w:rPr>
        <w:t>nateglinid</w:t>
      </w:r>
      <w:proofErr w:type="spellEnd"/>
      <w:r w:rsidRPr="00924659">
        <w:rPr>
          <w:color w:val="auto"/>
        </w:rPr>
        <w:t xml:space="preserve"> artı </w:t>
      </w:r>
      <w:proofErr w:type="spellStart"/>
      <w:r w:rsidRPr="00924659">
        <w:rPr>
          <w:color w:val="auto"/>
        </w:rPr>
        <w:t>metformin</w:t>
      </w:r>
      <w:proofErr w:type="spellEnd"/>
      <w:r w:rsidRPr="00924659">
        <w:rPr>
          <w:color w:val="auto"/>
        </w:rPr>
        <w:t xml:space="preserve"> grubunda – %0.41 ve </w:t>
      </w:r>
      <w:proofErr w:type="spellStart"/>
      <w:r w:rsidRPr="00924659">
        <w:rPr>
          <w:color w:val="auto"/>
        </w:rPr>
        <w:t>gliklazid</w:t>
      </w:r>
      <w:proofErr w:type="spellEnd"/>
      <w:r w:rsidRPr="00924659">
        <w:rPr>
          <w:color w:val="auto"/>
        </w:rPr>
        <w:t xml:space="preserve"> artı </w:t>
      </w:r>
      <w:proofErr w:type="spellStart"/>
      <w:r w:rsidRPr="00924659">
        <w:rPr>
          <w:color w:val="auto"/>
        </w:rPr>
        <w:t>metformin</w:t>
      </w:r>
      <w:proofErr w:type="spellEnd"/>
      <w:r w:rsidRPr="00924659">
        <w:rPr>
          <w:color w:val="auto"/>
        </w:rPr>
        <w:t xml:space="preserve"> grubunda –%0.57 olmuştur (fark: %0.17, [%95 GA – 0.03, 0.36]). İki tedavi de iyi </w:t>
      </w:r>
      <w:proofErr w:type="spellStart"/>
      <w:r w:rsidRPr="00924659">
        <w:rPr>
          <w:color w:val="auto"/>
        </w:rPr>
        <w:t>tolere</w:t>
      </w:r>
      <w:proofErr w:type="spellEnd"/>
      <w:r w:rsidRPr="00924659">
        <w:rPr>
          <w:color w:val="auto"/>
        </w:rPr>
        <w:t xml:space="preserve"> edilmiştir. </w:t>
      </w:r>
    </w:p>
    <w:p w:rsidR="007F1D13" w:rsidRPr="00924659" w:rsidRDefault="007F1D13" w:rsidP="007F1D13">
      <w:pPr>
        <w:shd w:val="clear" w:color="auto" w:fill="FFFFFF"/>
        <w:spacing w:line="276" w:lineRule="auto"/>
        <w:ind w:right="14"/>
        <w:jc w:val="both"/>
        <w:rPr>
          <w:rFonts w:cs="Times New Roman"/>
          <w:b w:val="0"/>
          <w:spacing w:val="-1"/>
          <w:szCs w:val="24"/>
        </w:rPr>
      </w:pPr>
      <w:proofErr w:type="spellStart"/>
      <w:r w:rsidRPr="00924659">
        <w:rPr>
          <w:b w:val="0"/>
          <w:szCs w:val="24"/>
        </w:rPr>
        <w:t>Nateglinid</w:t>
      </w:r>
      <w:proofErr w:type="spellEnd"/>
      <w:r w:rsidRPr="00924659">
        <w:rPr>
          <w:b w:val="0"/>
          <w:szCs w:val="24"/>
        </w:rPr>
        <w:t xml:space="preserve"> ile bir sonlanım çalışması gerçekleştirilmemiştir; dolayısıyla, </w:t>
      </w:r>
      <w:proofErr w:type="spellStart"/>
      <w:r w:rsidRPr="00924659">
        <w:rPr>
          <w:b w:val="0"/>
          <w:szCs w:val="24"/>
        </w:rPr>
        <w:t>glisemik</w:t>
      </w:r>
      <w:proofErr w:type="spellEnd"/>
      <w:r w:rsidRPr="00924659">
        <w:rPr>
          <w:b w:val="0"/>
          <w:szCs w:val="24"/>
        </w:rPr>
        <w:t xml:space="preserve"> kontroldeki iyileşme ile ilişkili uzun dönemdeki faydalar gösterilmemiştir.</w:t>
      </w:r>
    </w:p>
    <w:p w:rsidR="0099633B" w:rsidRPr="00924659" w:rsidRDefault="0099633B" w:rsidP="00EB30C8">
      <w:pPr>
        <w:shd w:val="clear" w:color="auto" w:fill="FFFFFF"/>
        <w:spacing w:line="276" w:lineRule="auto"/>
        <w:jc w:val="both"/>
        <w:rPr>
          <w:rFonts w:cs="Times New Roman"/>
          <w:spacing w:val="-1"/>
          <w:szCs w:val="24"/>
        </w:rPr>
      </w:pPr>
    </w:p>
    <w:p w:rsidR="00405D0D" w:rsidRPr="00924659" w:rsidRDefault="00405D0D" w:rsidP="00EB30C8">
      <w:pPr>
        <w:shd w:val="clear" w:color="auto" w:fill="FFFFFF"/>
        <w:spacing w:line="276" w:lineRule="auto"/>
        <w:jc w:val="both"/>
        <w:rPr>
          <w:rFonts w:cs="Times New Roman"/>
          <w:spacing w:val="-1"/>
          <w:szCs w:val="24"/>
        </w:rPr>
      </w:pPr>
      <w:r w:rsidRPr="00924659">
        <w:rPr>
          <w:rFonts w:cs="Times New Roman"/>
          <w:spacing w:val="-1"/>
          <w:szCs w:val="24"/>
        </w:rPr>
        <w:t>5.2.</w:t>
      </w:r>
      <w:r w:rsidR="00A214B7" w:rsidRPr="00924659">
        <w:rPr>
          <w:rFonts w:cs="Times New Roman"/>
          <w:spacing w:val="-1"/>
          <w:szCs w:val="24"/>
        </w:rPr>
        <w:t xml:space="preserve"> </w:t>
      </w:r>
      <w:proofErr w:type="spellStart"/>
      <w:r w:rsidRPr="00924659">
        <w:rPr>
          <w:rFonts w:cs="Times New Roman"/>
          <w:spacing w:val="-1"/>
          <w:szCs w:val="24"/>
        </w:rPr>
        <w:t>Farmakokinetik</w:t>
      </w:r>
      <w:proofErr w:type="spellEnd"/>
      <w:r w:rsidRPr="00924659">
        <w:rPr>
          <w:rFonts w:cs="Times New Roman"/>
          <w:spacing w:val="-1"/>
          <w:szCs w:val="24"/>
        </w:rPr>
        <w:t xml:space="preserve"> özellikler</w:t>
      </w:r>
    </w:p>
    <w:p w:rsidR="00405D0D" w:rsidRPr="00924659" w:rsidRDefault="00405D0D" w:rsidP="00EB30C8">
      <w:pPr>
        <w:shd w:val="clear" w:color="auto" w:fill="FFFFFF"/>
        <w:spacing w:line="276" w:lineRule="auto"/>
        <w:jc w:val="both"/>
        <w:rPr>
          <w:rFonts w:cs="Times New Roman"/>
          <w:spacing w:val="-1"/>
          <w:szCs w:val="24"/>
        </w:rPr>
      </w:pPr>
      <w:r w:rsidRPr="00924659">
        <w:rPr>
          <w:rFonts w:cs="Times New Roman"/>
          <w:spacing w:val="-1"/>
          <w:szCs w:val="24"/>
        </w:rPr>
        <w:t>Genel Özellikler:</w:t>
      </w:r>
    </w:p>
    <w:p w:rsidR="00405D0D" w:rsidRPr="00924659" w:rsidRDefault="00405D0D" w:rsidP="00EB30C8">
      <w:pPr>
        <w:shd w:val="clear" w:color="auto" w:fill="FFFFFF"/>
        <w:spacing w:line="276" w:lineRule="auto"/>
        <w:ind w:right="14"/>
        <w:jc w:val="both"/>
        <w:rPr>
          <w:rFonts w:cs="Times New Roman"/>
          <w:b w:val="0"/>
          <w:spacing w:val="-1"/>
          <w:szCs w:val="24"/>
          <w:u w:val="single"/>
        </w:rPr>
      </w:pPr>
      <w:r w:rsidRPr="00924659">
        <w:rPr>
          <w:rFonts w:cs="Times New Roman"/>
          <w:b w:val="0"/>
          <w:spacing w:val="-1"/>
          <w:szCs w:val="24"/>
          <w:u w:val="single"/>
        </w:rPr>
        <w:t>Emilim:</w:t>
      </w:r>
    </w:p>
    <w:p w:rsidR="00405D0D" w:rsidRPr="00924659" w:rsidRDefault="003D10D8"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İNGLEX</w:t>
      </w:r>
      <w:r w:rsidR="00405D0D" w:rsidRPr="00924659">
        <w:rPr>
          <w:rFonts w:cs="Times New Roman"/>
          <w:b w:val="0"/>
          <w:spacing w:val="-1"/>
          <w:szCs w:val="24"/>
        </w:rPr>
        <w:t xml:space="preserve"> tabletlerinin yemekten önce alınmasından sonra </w:t>
      </w:r>
      <w:proofErr w:type="spellStart"/>
      <w:r w:rsidR="00405D0D" w:rsidRPr="00924659">
        <w:rPr>
          <w:rFonts w:cs="Times New Roman"/>
          <w:b w:val="0"/>
          <w:spacing w:val="-1"/>
          <w:szCs w:val="24"/>
        </w:rPr>
        <w:t>nateglinid</w:t>
      </w:r>
      <w:proofErr w:type="spellEnd"/>
      <w:r w:rsidR="00405D0D" w:rsidRPr="00924659">
        <w:rPr>
          <w:rFonts w:cs="Times New Roman"/>
          <w:b w:val="0"/>
          <w:spacing w:val="-1"/>
          <w:szCs w:val="24"/>
        </w:rPr>
        <w:t xml:space="preserve">, hızla emilerek 1 saatten </w:t>
      </w:r>
      <w:r w:rsidR="00405D0D" w:rsidRPr="00924659">
        <w:rPr>
          <w:rFonts w:cs="Times New Roman"/>
          <w:b w:val="0"/>
          <w:spacing w:val="-1"/>
          <w:szCs w:val="24"/>
        </w:rPr>
        <w:lastRenderedPageBreak/>
        <w:t>daha kısa bir süre içerisinde plazmadaki ortalama maksimal düzeylere (</w:t>
      </w:r>
      <w:proofErr w:type="spellStart"/>
      <w:r w:rsidR="00405D0D" w:rsidRPr="00924659">
        <w:rPr>
          <w:rFonts w:cs="Times New Roman"/>
          <w:b w:val="0"/>
          <w:spacing w:val="-1"/>
          <w:szCs w:val="24"/>
        </w:rPr>
        <w:t>C</w:t>
      </w:r>
      <w:r w:rsidR="00405D0D" w:rsidRPr="00924659">
        <w:rPr>
          <w:rFonts w:cs="Times New Roman"/>
          <w:b w:val="0"/>
          <w:spacing w:val="-1"/>
          <w:sz w:val="28"/>
          <w:szCs w:val="28"/>
          <w:vertAlign w:val="subscript"/>
        </w:rPr>
        <w:t>max</w:t>
      </w:r>
      <w:proofErr w:type="spellEnd"/>
      <w:r w:rsidR="00405D0D" w:rsidRPr="00924659">
        <w:rPr>
          <w:rFonts w:cs="Times New Roman"/>
          <w:b w:val="0"/>
          <w:spacing w:val="-1"/>
          <w:szCs w:val="24"/>
        </w:rPr>
        <w:t xml:space="preserve">) ulaşır. Oral solüsyon içerisindeki </w:t>
      </w:r>
      <w:proofErr w:type="spellStart"/>
      <w:r w:rsidR="00405D0D" w:rsidRPr="00924659">
        <w:rPr>
          <w:rFonts w:cs="Times New Roman"/>
          <w:b w:val="0"/>
          <w:spacing w:val="-1"/>
          <w:szCs w:val="24"/>
        </w:rPr>
        <w:t>nateglinid</w:t>
      </w:r>
      <w:proofErr w:type="spellEnd"/>
      <w:r w:rsidR="00405D0D" w:rsidRPr="00924659">
        <w:rPr>
          <w:rFonts w:cs="Times New Roman"/>
          <w:b w:val="0"/>
          <w:spacing w:val="-1"/>
          <w:szCs w:val="24"/>
        </w:rPr>
        <w:t xml:space="preserve">, hızla ve neredeyse tamamen (&gt;%90) emilir. Mutlak oral </w:t>
      </w:r>
      <w:proofErr w:type="spellStart"/>
      <w:r w:rsidR="00405D0D" w:rsidRPr="00924659">
        <w:rPr>
          <w:rFonts w:cs="Times New Roman"/>
          <w:b w:val="0"/>
          <w:spacing w:val="-1"/>
          <w:szCs w:val="24"/>
        </w:rPr>
        <w:t>biyoyararlanım</w:t>
      </w:r>
      <w:proofErr w:type="spellEnd"/>
      <w:r w:rsidR="00405D0D" w:rsidRPr="00924659">
        <w:rPr>
          <w:rFonts w:cs="Times New Roman"/>
          <w:b w:val="0"/>
          <w:spacing w:val="-1"/>
          <w:szCs w:val="24"/>
        </w:rPr>
        <w:t xml:space="preserve"> oranının %72 olduğu hesaplanmıştır.</w:t>
      </w:r>
    </w:p>
    <w:p w:rsidR="00405D0D" w:rsidRPr="00924659" w:rsidRDefault="00405D0D" w:rsidP="00EB30C8">
      <w:pPr>
        <w:shd w:val="clear" w:color="auto" w:fill="FFFFFF"/>
        <w:spacing w:line="276" w:lineRule="auto"/>
        <w:ind w:right="14"/>
        <w:jc w:val="both"/>
        <w:rPr>
          <w:rFonts w:cs="Times New Roman"/>
          <w:b w:val="0"/>
          <w:spacing w:val="-1"/>
          <w:szCs w:val="24"/>
          <w:u w:val="single"/>
        </w:rPr>
      </w:pPr>
      <w:r w:rsidRPr="00924659">
        <w:rPr>
          <w:rFonts w:cs="Times New Roman"/>
          <w:b w:val="0"/>
          <w:spacing w:val="-1"/>
          <w:szCs w:val="24"/>
          <w:u w:val="single"/>
        </w:rPr>
        <w:t>Dağılım:</w:t>
      </w:r>
    </w:p>
    <w:p w:rsidR="00A214B7" w:rsidRPr="00924659" w:rsidRDefault="00A214B7"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w:t>
      </w:r>
      <w:proofErr w:type="spellStart"/>
      <w:r w:rsidRPr="00924659">
        <w:rPr>
          <w:rFonts w:cs="Times New Roman"/>
          <w:b w:val="0"/>
          <w:spacing w:val="-1"/>
          <w:szCs w:val="24"/>
        </w:rPr>
        <w:t>intravenöz</w:t>
      </w:r>
      <w:proofErr w:type="spellEnd"/>
      <w:r w:rsidR="00405D0D" w:rsidRPr="00924659">
        <w:rPr>
          <w:rFonts w:cs="Times New Roman"/>
          <w:b w:val="0"/>
          <w:spacing w:val="-1"/>
          <w:szCs w:val="24"/>
        </w:rPr>
        <w:t xml:space="preserve"> </w:t>
      </w:r>
      <w:r w:rsidRPr="00924659">
        <w:rPr>
          <w:rFonts w:cs="Times New Roman"/>
          <w:b w:val="0"/>
          <w:spacing w:val="-1"/>
          <w:szCs w:val="24"/>
        </w:rPr>
        <w:t xml:space="preserve">veriler </w:t>
      </w:r>
      <w:r w:rsidR="00405D0D" w:rsidRPr="00924659">
        <w:rPr>
          <w:rFonts w:cs="Times New Roman"/>
          <w:b w:val="0"/>
          <w:spacing w:val="-1"/>
          <w:szCs w:val="24"/>
        </w:rPr>
        <w:t>göz önünde tutularak hesaplanan,</w:t>
      </w:r>
      <w:r w:rsidRPr="00924659">
        <w:rPr>
          <w:rFonts w:cs="Times New Roman"/>
          <w:b w:val="0"/>
          <w:spacing w:val="-1"/>
          <w:szCs w:val="24"/>
        </w:rPr>
        <w:t xml:space="preserve"> </w:t>
      </w:r>
      <w:r w:rsidR="00405D0D" w:rsidRPr="00924659">
        <w:rPr>
          <w:rFonts w:cs="Times New Roman"/>
          <w:b w:val="0"/>
          <w:spacing w:val="-1"/>
          <w:szCs w:val="24"/>
        </w:rPr>
        <w:t>kararlı</w:t>
      </w:r>
      <w:r w:rsidRPr="00924659">
        <w:rPr>
          <w:rFonts w:cs="Times New Roman"/>
          <w:b w:val="0"/>
          <w:spacing w:val="-1"/>
          <w:szCs w:val="24"/>
        </w:rPr>
        <w:t xml:space="preserve"> </w:t>
      </w:r>
      <w:r w:rsidR="00405D0D" w:rsidRPr="00924659">
        <w:rPr>
          <w:rFonts w:cs="Times New Roman"/>
          <w:b w:val="0"/>
          <w:spacing w:val="-1"/>
          <w:szCs w:val="24"/>
        </w:rPr>
        <w:t>plazma</w:t>
      </w:r>
      <w:r w:rsidRPr="00924659">
        <w:rPr>
          <w:rFonts w:cs="Times New Roman"/>
          <w:b w:val="0"/>
          <w:spacing w:val="-1"/>
          <w:szCs w:val="24"/>
        </w:rPr>
        <w:t xml:space="preserve"> </w:t>
      </w:r>
      <w:r w:rsidR="00405D0D" w:rsidRPr="00924659">
        <w:rPr>
          <w:rFonts w:cs="Times New Roman"/>
          <w:b w:val="0"/>
          <w:spacing w:val="-1"/>
          <w:szCs w:val="24"/>
        </w:rPr>
        <w:t>düzeylerindeki dağılım hacminin, yakla</w:t>
      </w:r>
      <w:r w:rsidR="000E5E8C" w:rsidRPr="00924659">
        <w:rPr>
          <w:rFonts w:cs="Times New Roman"/>
          <w:b w:val="0"/>
          <w:spacing w:val="-1"/>
          <w:szCs w:val="24"/>
        </w:rPr>
        <w:t>şık 10 litre olduğu bulunmuştur.</w:t>
      </w:r>
      <w:r w:rsidR="00405D0D" w:rsidRPr="00924659">
        <w:rPr>
          <w:rFonts w:cs="Times New Roman"/>
          <w:b w:val="0"/>
          <w:spacing w:val="-1"/>
          <w:szCs w:val="24"/>
        </w:rPr>
        <w:t xml:space="preserve"> </w:t>
      </w:r>
      <w:r w:rsidR="000E5E8C" w:rsidRPr="00924659">
        <w:rPr>
          <w:rFonts w:cs="Times New Roman"/>
          <w:b w:val="0"/>
          <w:i/>
          <w:spacing w:val="-1"/>
          <w:szCs w:val="24"/>
        </w:rPr>
        <w:t>İ</w:t>
      </w:r>
      <w:r w:rsidR="00405D0D" w:rsidRPr="00924659">
        <w:rPr>
          <w:rFonts w:cs="Times New Roman"/>
          <w:b w:val="0"/>
          <w:i/>
          <w:spacing w:val="-1"/>
          <w:szCs w:val="24"/>
        </w:rPr>
        <w:t xml:space="preserve">n </w:t>
      </w:r>
      <w:proofErr w:type="spellStart"/>
      <w:r w:rsidR="00405D0D" w:rsidRPr="00924659">
        <w:rPr>
          <w:rFonts w:cs="Times New Roman"/>
          <w:b w:val="0"/>
          <w:i/>
          <w:spacing w:val="-1"/>
          <w:szCs w:val="24"/>
        </w:rPr>
        <w:t>vitro</w:t>
      </w:r>
      <w:proofErr w:type="spellEnd"/>
      <w:r w:rsidR="00405D0D" w:rsidRPr="00924659">
        <w:rPr>
          <w:rFonts w:cs="Times New Roman"/>
          <w:b w:val="0"/>
          <w:spacing w:val="-1"/>
          <w:szCs w:val="24"/>
        </w:rPr>
        <w:t xml:space="preserve"> çalışmalar</w:t>
      </w:r>
      <w:r w:rsidRPr="00924659">
        <w:rPr>
          <w:rFonts w:cs="Times New Roman"/>
          <w:b w:val="0"/>
          <w:spacing w:val="-1"/>
          <w:szCs w:val="24"/>
        </w:rPr>
        <w:t xml:space="preserve"> </w:t>
      </w:r>
      <w:proofErr w:type="spellStart"/>
      <w:r w:rsidR="00405D0D" w:rsidRPr="00924659">
        <w:rPr>
          <w:rFonts w:cs="Times New Roman"/>
          <w:b w:val="0"/>
          <w:spacing w:val="-1"/>
          <w:szCs w:val="24"/>
        </w:rPr>
        <w:t>nateglinidin</w:t>
      </w:r>
      <w:proofErr w:type="spellEnd"/>
      <w:r w:rsidR="00405D0D" w:rsidRPr="00924659">
        <w:rPr>
          <w:rFonts w:cs="Times New Roman"/>
          <w:b w:val="0"/>
          <w:spacing w:val="-1"/>
          <w:szCs w:val="24"/>
        </w:rPr>
        <w:t xml:space="preserve">, öncelikle albümin ve daha az olarak alfa-1 asit </w:t>
      </w:r>
      <w:proofErr w:type="spellStart"/>
      <w:r w:rsidR="00405D0D" w:rsidRPr="00924659">
        <w:rPr>
          <w:rFonts w:cs="Times New Roman"/>
          <w:b w:val="0"/>
          <w:spacing w:val="-1"/>
          <w:szCs w:val="24"/>
        </w:rPr>
        <w:t>glikoprotein</w:t>
      </w:r>
      <w:proofErr w:type="spellEnd"/>
      <w:r w:rsidR="00405D0D" w:rsidRPr="00924659">
        <w:rPr>
          <w:rFonts w:cs="Times New Roman"/>
          <w:b w:val="0"/>
          <w:spacing w:val="-1"/>
          <w:szCs w:val="24"/>
        </w:rPr>
        <w:t xml:space="preserve"> olmak üzere serum</w:t>
      </w:r>
      <w:r w:rsidRPr="00924659">
        <w:rPr>
          <w:rFonts w:cs="Times New Roman"/>
          <w:b w:val="0"/>
          <w:spacing w:val="-1"/>
          <w:szCs w:val="24"/>
        </w:rPr>
        <w:t xml:space="preserve"> </w:t>
      </w:r>
      <w:r w:rsidR="00405D0D" w:rsidRPr="00924659">
        <w:rPr>
          <w:rFonts w:cs="Times New Roman"/>
          <w:b w:val="0"/>
          <w:spacing w:val="-1"/>
          <w:szCs w:val="24"/>
        </w:rPr>
        <w:t>proteinlerine yüksek oranda (%97-99) bağlandığını göstermiştir. Bu bağlanmanın derecesi,</w:t>
      </w:r>
      <w:r w:rsidRPr="00924659">
        <w:rPr>
          <w:rFonts w:cs="Times New Roman"/>
          <w:b w:val="0"/>
          <w:spacing w:val="-1"/>
          <w:szCs w:val="24"/>
        </w:rPr>
        <w:t xml:space="preserve"> </w:t>
      </w:r>
      <w:r w:rsidR="00405D0D" w:rsidRPr="00924659">
        <w:rPr>
          <w:rFonts w:cs="Times New Roman"/>
          <w:b w:val="0"/>
          <w:spacing w:val="-1"/>
          <w:szCs w:val="24"/>
        </w:rPr>
        <w:t>test</w:t>
      </w:r>
      <w:r w:rsidRPr="00924659">
        <w:rPr>
          <w:rFonts w:cs="Times New Roman"/>
          <w:b w:val="0"/>
          <w:spacing w:val="-1"/>
          <w:szCs w:val="24"/>
        </w:rPr>
        <w:t xml:space="preserve"> </w:t>
      </w:r>
      <w:r w:rsidR="00405D0D" w:rsidRPr="00924659">
        <w:rPr>
          <w:rFonts w:cs="Times New Roman"/>
          <w:b w:val="0"/>
          <w:spacing w:val="-1"/>
          <w:szCs w:val="24"/>
        </w:rPr>
        <w:t>sınırlan</w:t>
      </w:r>
      <w:r w:rsidRPr="00924659">
        <w:rPr>
          <w:rFonts w:cs="Times New Roman"/>
          <w:b w:val="0"/>
          <w:spacing w:val="-1"/>
          <w:szCs w:val="24"/>
        </w:rPr>
        <w:t xml:space="preserve"> </w:t>
      </w:r>
      <w:r w:rsidR="00405D0D" w:rsidRPr="00924659">
        <w:rPr>
          <w:rFonts w:cs="Times New Roman"/>
          <w:b w:val="0"/>
          <w:spacing w:val="-1"/>
          <w:szCs w:val="24"/>
        </w:rPr>
        <w:t>olan</w:t>
      </w:r>
      <w:r w:rsidRPr="00924659">
        <w:rPr>
          <w:rFonts w:cs="Times New Roman"/>
          <w:b w:val="0"/>
          <w:spacing w:val="-1"/>
          <w:szCs w:val="24"/>
        </w:rPr>
        <w:t xml:space="preserve"> </w:t>
      </w:r>
      <w:r w:rsidR="00405D0D" w:rsidRPr="00924659">
        <w:rPr>
          <w:rFonts w:cs="Times New Roman"/>
          <w:b w:val="0"/>
          <w:spacing w:val="-1"/>
          <w:szCs w:val="24"/>
        </w:rPr>
        <w:t>0.1-10</w:t>
      </w:r>
      <w:r w:rsidRPr="00924659">
        <w:rPr>
          <w:rFonts w:cs="Times New Roman"/>
          <w:b w:val="0"/>
          <w:spacing w:val="-1"/>
          <w:szCs w:val="24"/>
        </w:rPr>
        <w:t xml:space="preserve"> </w:t>
      </w:r>
      <w:r w:rsidR="00405D0D" w:rsidRPr="00924659">
        <w:rPr>
          <w:rFonts w:cs="Times New Roman"/>
          <w:b w:val="0"/>
          <w:spacing w:val="-1"/>
          <w:szCs w:val="24"/>
        </w:rPr>
        <w:t>mikrogram</w:t>
      </w:r>
      <w:r w:rsidRPr="00924659">
        <w:rPr>
          <w:rFonts w:cs="Times New Roman"/>
          <w:b w:val="0"/>
          <w:spacing w:val="-1"/>
          <w:szCs w:val="24"/>
        </w:rPr>
        <w:t xml:space="preserve"> </w:t>
      </w:r>
      <w:r w:rsidR="003D10D8" w:rsidRPr="00924659">
        <w:rPr>
          <w:rFonts w:cs="Times New Roman"/>
          <w:b w:val="0"/>
          <w:spacing w:val="-1"/>
          <w:szCs w:val="24"/>
        </w:rPr>
        <w:t>İNGLEX</w:t>
      </w:r>
      <w:r w:rsidR="00405D0D" w:rsidRPr="00924659">
        <w:rPr>
          <w:rFonts w:cs="Times New Roman"/>
          <w:b w:val="0"/>
          <w:spacing w:val="-1"/>
          <w:szCs w:val="24"/>
        </w:rPr>
        <w:t>/ml</w:t>
      </w:r>
      <w:r w:rsidRPr="00924659">
        <w:rPr>
          <w:rFonts w:cs="Times New Roman"/>
          <w:b w:val="0"/>
          <w:spacing w:val="-1"/>
          <w:szCs w:val="24"/>
        </w:rPr>
        <w:t xml:space="preserve"> </w:t>
      </w:r>
      <w:r w:rsidR="00405D0D" w:rsidRPr="00924659">
        <w:rPr>
          <w:rFonts w:cs="Times New Roman"/>
          <w:b w:val="0"/>
          <w:spacing w:val="-1"/>
          <w:szCs w:val="24"/>
        </w:rPr>
        <w:t>içinde,</w:t>
      </w:r>
      <w:r w:rsidRPr="00924659">
        <w:rPr>
          <w:rFonts w:cs="Times New Roman"/>
          <w:b w:val="0"/>
          <w:spacing w:val="-1"/>
          <w:szCs w:val="24"/>
        </w:rPr>
        <w:t xml:space="preserve"> </w:t>
      </w:r>
      <w:r w:rsidR="00405D0D" w:rsidRPr="00924659">
        <w:rPr>
          <w:rFonts w:cs="Times New Roman"/>
          <w:b w:val="0"/>
          <w:spacing w:val="-1"/>
          <w:szCs w:val="24"/>
        </w:rPr>
        <w:t>ilaç</w:t>
      </w:r>
      <w:r w:rsidRPr="00924659">
        <w:rPr>
          <w:rFonts w:cs="Times New Roman"/>
          <w:b w:val="0"/>
          <w:spacing w:val="-1"/>
          <w:szCs w:val="24"/>
        </w:rPr>
        <w:t xml:space="preserve"> </w:t>
      </w:r>
      <w:r w:rsidR="00405D0D" w:rsidRPr="00924659">
        <w:rPr>
          <w:rFonts w:cs="Times New Roman"/>
          <w:b w:val="0"/>
          <w:spacing w:val="-1"/>
          <w:szCs w:val="24"/>
        </w:rPr>
        <w:t>konsantrasyonundan</w:t>
      </w:r>
      <w:r w:rsidRPr="00924659">
        <w:rPr>
          <w:rFonts w:cs="Times New Roman"/>
          <w:b w:val="0"/>
          <w:spacing w:val="-1"/>
          <w:szCs w:val="24"/>
        </w:rPr>
        <w:t xml:space="preserve"> </w:t>
      </w:r>
      <w:r w:rsidR="00405D0D" w:rsidRPr="00924659">
        <w:rPr>
          <w:rFonts w:cs="Times New Roman"/>
          <w:b w:val="0"/>
          <w:spacing w:val="-1"/>
          <w:szCs w:val="24"/>
        </w:rPr>
        <w:t>bağımsızdır.</w:t>
      </w:r>
    </w:p>
    <w:p w:rsidR="00405D0D" w:rsidRPr="00924659" w:rsidRDefault="00405D0D" w:rsidP="00EB30C8">
      <w:pPr>
        <w:shd w:val="clear" w:color="auto" w:fill="FFFFFF"/>
        <w:spacing w:line="276" w:lineRule="auto"/>
        <w:ind w:right="14"/>
        <w:jc w:val="both"/>
        <w:rPr>
          <w:rFonts w:cs="Times New Roman"/>
          <w:b w:val="0"/>
          <w:spacing w:val="-1"/>
          <w:szCs w:val="24"/>
          <w:u w:val="single"/>
        </w:rPr>
      </w:pPr>
      <w:proofErr w:type="spellStart"/>
      <w:r w:rsidRPr="00924659">
        <w:rPr>
          <w:rFonts w:cs="Times New Roman"/>
          <w:b w:val="0"/>
          <w:spacing w:val="-1"/>
          <w:szCs w:val="24"/>
          <w:u w:val="single"/>
        </w:rPr>
        <w:t>Biyotransformasyon</w:t>
      </w:r>
      <w:proofErr w:type="spellEnd"/>
      <w:r w:rsidRPr="00924659">
        <w:rPr>
          <w:rFonts w:cs="Times New Roman"/>
          <w:b w:val="0"/>
          <w:spacing w:val="-1"/>
          <w:szCs w:val="24"/>
          <w:u w:val="single"/>
        </w:rPr>
        <w:t>:</w:t>
      </w:r>
    </w:p>
    <w:p w:rsidR="00405D0D" w:rsidRPr="00924659" w:rsidRDefault="00405D0D" w:rsidP="00EB30C8">
      <w:pPr>
        <w:shd w:val="clear" w:color="auto" w:fill="FFFFFF"/>
        <w:spacing w:line="276" w:lineRule="auto"/>
        <w:ind w:right="14"/>
        <w:jc w:val="both"/>
        <w:rPr>
          <w:rFonts w:cs="Times New Roman"/>
          <w:b w:val="0"/>
          <w:spacing w:val="-1"/>
          <w:szCs w:val="24"/>
        </w:rPr>
      </w:pPr>
      <w:proofErr w:type="spellStart"/>
      <w:r w:rsidRPr="00924659">
        <w:rPr>
          <w:rFonts w:cs="Times New Roman"/>
          <w:b w:val="0"/>
          <w:spacing w:val="-1"/>
          <w:szCs w:val="24"/>
        </w:rPr>
        <w:t>Nateglinid</w:t>
      </w:r>
      <w:proofErr w:type="spellEnd"/>
      <w:r w:rsidRPr="00924659">
        <w:rPr>
          <w:rFonts w:cs="Times New Roman"/>
          <w:b w:val="0"/>
          <w:spacing w:val="-1"/>
          <w:szCs w:val="24"/>
        </w:rPr>
        <w:t>, vücuttan uzaklaşt</w:t>
      </w:r>
      <w:r w:rsidR="00A214B7" w:rsidRPr="00924659">
        <w:rPr>
          <w:rFonts w:cs="Times New Roman"/>
          <w:b w:val="0"/>
          <w:spacing w:val="-1"/>
          <w:szCs w:val="24"/>
        </w:rPr>
        <w:t>ırı</w:t>
      </w:r>
      <w:r w:rsidRPr="00924659">
        <w:rPr>
          <w:rFonts w:cs="Times New Roman"/>
          <w:b w:val="0"/>
          <w:spacing w:val="-1"/>
          <w:szCs w:val="24"/>
        </w:rPr>
        <w:t xml:space="preserve">lmadan önce, büyük oranda karma fonksiyonlu </w:t>
      </w:r>
      <w:proofErr w:type="spellStart"/>
      <w:r w:rsidRPr="00924659">
        <w:rPr>
          <w:rFonts w:cs="Times New Roman"/>
          <w:b w:val="0"/>
          <w:spacing w:val="-1"/>
          <w:szCs w:val="24"/>
        </w:rPr>
        <w:t>oksidaz</w:t>
      </w:r>
      <w:proofErr w:type="spellEnd"/>
      <w:r w:rsidRPr="00924659">
        <w:rPr>
          <w:rFonts w:cs="Times New Roman"/>
          <w:b w:val="0"/>
          <w:spacing w:val="-1"/>
          <w:szCs w:val="24"/>
        </w:rPr>
        <w:t xml:space="preserve"> sistemi tarafından </w:t>
      </w:r>
      <w:proofErr w:type="spellStart"/>
      <w:r w:rsidRPr="00924659">
        <w:rPr>
          <w:rFonts w:cs="Times New Roman"/>
          <w:b w:val="0"/>
          <w:spacing w:val="-1"/>
          <w:szCs w:val="24"/>
        </w:rPr>
        <w:t>metabolize</w:t>
      </w:r>
      <w:proofErr w:type="spellEnd"/>
      <w:r w:rsidRPr="00924659">
        <w:rPr>
          <w:rFonts w:cs="Times New Roman"/>
          <w:b w:val="0"/>
          <w:spacing w:val="-1"/>
          <w:szCs w:val="24"/>
        </w:rPr>
        <w:t xml:space="preserve"> edilir. İnsanlardaki başlıca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w:t>
      </w:r>
      <w:proofErr w:type="spellStart"/>
      <w:r w:rsidRPr="00924659">
        <w:rPr>
          <w:rFonts w:cs="Times New Roman"/>
          <w:b w:val="0"/>
          <w:spacing w:val="-1"/>
          <w:szCs w:val="24"/>
        </w:rPr>
        <w:t>metabolitleri</w:t>
      </w:r>
      <w:proofErr w:type="spellEnd"/>
      <w:r w:rsidRPr="00924659">
        <w:rPr>
          <w:rFonts w:cs="Times New Roman"/>
          <w:b w:val="0"/>
          <w:spacing w:val="-1"/>
          <w:szCs w:val="24"/>
        </w:rPr>
        <w:t xml:space="preserve">; </w:t>
      </w:r>
      <w:proofErr w:type="spellStart"/>
      <w:r w:rsidRPr="00924659">
        <w:rPr>
          <w:rFonts w:cs="Times New Roman"/>
          <w:b w:val="0"/>
          <w:spacing w:val="-1"/>
          <w:szCs w:val="24"/>
        </w:rPr>
        <w:t>izopropil</w:t>
      </w:r>
      <w:proofErr w:type="spellEnd"/>
      <w:r w:rsidRPr="00924659">
        <w:rPr>
          <w:rFonts w:cs="Times New Roman"/>
          <w:b w:val="0"/>
          <w:spacing w:val="-1"/>
          <w:szCs w:val="24"/>
        </w:rPr>
        <w:t xml:space="preserve"> yan-zincirinin metin</w:t>
      </w:r>
      <w:r w:rsidR="00F75128" w:rsidRPr="00924659">
        <w:rPr>
          <w:rFonts w:cs="Times New Roman"/>
          <w:b w:val="0"/>
          <w:spacing w:val="-1"/>
          <w:szCs w:val="24"/>
        </w:rPr>
        <w:t xml:space="preserve"> (methine)</w:t>
      </w:r>
      <w:r w:rsidRPr="00924659">
        <w:rPr>
          <w:rFonts w:cs="Times New Roman"/>
          <w:b w:val="0"/>
          <w:spacing w:val="-1"/>
          <w:szCs w:val="24"/>
        </w:rPr>
        <w:t xml:space="preserve"> karbonu ya da metil grupla</w:t>
      </w:r>
      <w:r w:rsidR="00F75128" w:rsidRPr="00924659">
        <w:rPr>
          <w:rFonts w:cs="Times New Roman"/>
          <w:b w:val="0"/>
          <w:spacing w:val="-1"/>
          <w:szCs w:val="24"/>
        </w:rPr>
        <w:t>rı</w:t>
      </w:r>
      <w:r w:rsidRPr="00924659">
        <w:rPr>
          <w:rFonts w:cs="Times New Roman"/>
          <w:b w:val="0"/>
          <w:spacing w:val="-1"/>
          <w:szCs w:val="24"/>
        </w:rPr>
        <w:t xml:space="preserve">ndan birinde </w:t>
      </w:r>
      <w:proofErr w:type="spellStart"/>
      <w:r w:rsidRPr="00924659">
        <w:rPr>
          <w:rFonts w:cs="Times New Roman"/>
          <w:b w:val="0"/>
          <w:spacing w:val="-1"/>
          <w:szCs w:val="24"/>
        </w:rPr>
        <w:t>hidroksilasyonu</w:t>
      </w:r>
      <w:proofErr w:type="spellEnd"/>
      <w:r w:rsidRPr="00924659">
        <w:rPr>
          <w:rFonts w:cs="Times New Roman"/>
          <w:b w:val="0"/>
          <w:spacing w:val="-1"/>
          <w:szCs w:val="24"/>
        </w:rPr>
        <w:t xml:space="preserve"> sonucu ortaya çıkmaktadır. Bu ana </w:t>
      </w:r>
      <w:proofErr w:type="spellStart"/>
      <w:r w:rsidRPr="00924659">
        <w:rPr>
          <w:rFonts w:cs="Times New Roman"/>
          <w:b w:val="0"/>
          <w:spacing w:val="-1"/>
          <w:szCs w:val="24"/>
        </w:rPr>
        <w:t>metabolitlerin</w:t>
      </w:r>
      <w:proofErr w:type="spellEnd"/>
      <w:r w:rsidRPr="00924659">
        <w:rPr>
          <w:rFonts w:cs="Times New Roman"/>
          <w:b w:val="0"/>
          <w:spacing w:val="-1"/>
          <w:szCs w:val="24"/>
        </w:rPr>
        <w:t xml:space="preserve"> aktivitesi, asıl molekülün aktivitesinin sırasıyla 1/5, 1/6 ve 1/3'ü kadardır. Minör </w:t>
      </w:r>
      <w:proofErr w:type="spellStart"/>
      <w:r w:rsidRPr="00924659">
        <w:rPr>
          <w:rFonts w:cs="Times New Roman"/>
          <w:b w:val="0"/>
          <w:spacing w:val="-1"/>
          <w:szCs w:val="24"/>
        </w:rPr>
        <w:t>metabolitler</w:t>
      </w:r>
      <w:proofErr w:type="spellEnd"/>
      <w:r w:rsidRPr="00924659">
        <w:rPr>
          <w:rFonts w:cs="Times New Roman"/>
          <w:b w:val="0"/>
          <w:spacing w:val="-1"/>
          <w:szCs w:val="24"/>
        </w:rPr>
        <w:t xml:space="preserve"> ise bir </w:t>
      </w:r>
      <w:proofErr w:type="spellStart"/>
      <w:r w:rsidRPr="00924659">
        <w:rPr>
          <w:rFonts w:cs="Times New Roman"/>
          <w:b w:val="0"/>
          <w:spacing w:val="-1"/>
          <w:szCs w:val="24"/>
        </w:rPr>
        <w:t>diol</w:t>
      </w:r>
      <w:proofErr w:type="spellEnd"/>
      <w:r w:rsidRPr="00924659">
        <w:rPr>
          <w:rFonts w:cs="Times New Roman"/>
          <w:b w:val="0"/>
          <w:spacing w:val="-1"/>
          <w:szCs w:val="24"/>
        </w:rPr>
        <w:t xml:space="preserve">, bir </w:t>
      </w:r>
      <w:proofErr w:type="spellStart"/>
      <w:r w:rsidRPr="00924659">
        <w:rPr>
          <w:rFonts w:cs="Times New Roman"/>
          <w:b w:val="0"/>
          <w:spacing w:val="-1"/>
          <w:szCs w:val="24"/>
        </w:rPr>
        <w:t>izopropen</w:t>
      </w:r>
      <w:proofErr w:type="spellEnd"/>
      <w:r w:rsidRPr="00924659">
        <w:rPr>
          <w:rFonts w:cs="Times New Roman"/>
          <w:b w:val="0"/>
          <w:spacing w:val="-1"/>
          <w:szCs w:val="24"/>
        </w:rPr>
        <w:t xml:space="preserve"> ve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acil </w:t>
      </w:r>
      <w:proofErr w:type="spellStart"/>
      <w:r w:rsidRPr="00924659">
        <w:rPr>
          <w:rFonts w:cs="Times New Roman"/>
          <w:b w:val="0"/>
          <w:spacing w:val="-1"/>
          <w:szCs w:val="24"/>
        </w:rPr>
        <w:t>glukuronid</w:t>
      </w:r>
      <w:proofErr w:type="spellEnd"/>
      <w:r w:rsidRPr="00924659">
        <w:rPr>
          <w:rFonts w:cs="Times New Roman"/>
          <w:b w:val="0"/>
          <w:spacing w:val="-1"/>
          <w:szCs w:val="24"/>
        </w:rPr>
        <w:t>(</w:t>
      </w:r>
      <w:proofErr w:type="spellStart"/>
      <w:r w:rsidRPr="00924659">
        <w:rPr>
          <w:rFonts w:cs="Times New Roman"/>
          <w:b w:val="0"/>
          <w:spacing w:val="-1"/>
          <w:szCs w:val="24"/>
        </w:rPr>
        <w:t>ler</w:t>
      </w:r>
      <w:proofErr w:type="spellEnd"/>
      <w:r w:rsidRPr="00924659">
        <w:rPr>
          <w:rFonts w:cs="Times New Roman"/>
          <w:b w:val="0"/>
          <w:spacing w:val="-1"/>
          <w:szCs w:val="24"/>
        </w:rPr>
        <w:t xml:space="preserve">)i şeklindedir; bunlardan yalnızca </w:t>
      </w:r>
      <w:proofErr w:type="spellStart"/>
      <w:r w:rsidRPr="00924659">
        <w:rPr>
          <w:rFonts w:cs="Times New Roman"/>
          <w:b w:val="0"/>
          <w:spacing w:val="-1"/>
          <w:szCs w:val="24"/>
        </w:rPr>
        <w:t>izopropen</w:t>
      </w:r>
      <w:proofErr w:type="spellEnd"/>
      <w:r w:rsidRPr="00924659">
        <w:rPr>
          <w:rFonts w:cs="Times New Roman"/>
          <w:b w:val="0"/>
          <w:spacing w:val="-1"/>
          <w:szCs w:val="24"/>
        </w:rPr>
        <w:t xml:space="preserve">, aktiviteye sahiptir ve bu aktivite, neredeyse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aktivitesi kadar güçlüdür. İnsan karaciğer </w:t>
      </w:r>
      <w:proofErr w:type="spellStart"/>
      <w:r w:rsidRPr="00924659">
        <w:rPr>
          <w:rFonts w:cs="Times New Roman"/>
          <w:b w:val="0"/>
          <w:spacing w:val="-1"/>
          <w:szCs w:val="24"/>
        </w:rPr>
        <w:t>mikrozomla</w:t>
      </w:r>
      <w:r w:rsidR="00A214B7" w:rsidRPr="00924659">
        <w:rPr>
          <w:rFonts w:cs="Times New Roman"/>
          <w:b w:val="0"/>
          <w:spacing w:val="-1"/>
          <w:szCs w:val="24"/>
        </w:rPr>
        <w:t>rı</w:t>
      </w:r>
      <w:proofErr w:type="spellEnd"/>
      <w:r w:rsidRPr="00924659">
        <w:rPr>
          <w:rFonts w:cs="Times New Roman"/>
          <w:b w:val="0"/>
          <w:spacing w:val="-1"/>
          <w:szCs w:val="24"/>
        </w:rPr>
        <w:t xml:space="preserve"> ve tek başına insan CYP </w:t>
      </w:r>
      <w:proofErr w:type="spellStart"/>
      <w:r w:rsidRPr="00924659">
        <w:rPr>
          <w:rFonts w:cs="Times New Roman"/>
          <w:b w:val="0"/>
          <w:spacing w:val="-1"/>
          <w:szCs w:val="24"/>
        </w:rPr>
        <w:t>izoenzimleri</w:t>
      </w:r>
      <w:proofErr w:type="spellEnd"/>
      <w:r w:rsidRPr="00924659">
        <w:rPr>
          <w:rFonts w:cs="Times New Roman"/>
          <w:b w:val="0"/>
          <w:spacing w:val="-1"/>
          <w:szCs w:val="24"/>
        </w:rPr>
        <w:t xml:space="preserve"> içeren </w:t>
      </w:r>
      <w:proofErr w:type="spellStart"/>
      <w:r w:rsidRPr="00924659">
        <w:rPr>
          <w:rFonts w:cs="Times New Roman"/>
          <w:b w:val="0"/>
          <w:spacing w:val="-1"/>
          <w:szCs w:val="24"/>
        </w:rPr>
        <w:t>mikrozomlar</w:t>
      </w:r>
      <w:proofErr w:type="spellEnd"/>
      <w:r w:rsidRPr="00924659">
        <w:rPr>
          <w:rFonts w:cs="Times New Roman"/>
          <w:b w:val="0"/>
          <w:spacing w:val="-1"/>
          <w:szCs w:val="24"/>
        </w:rPr>
        <w:t xml:space="preserve"> üzerinde yapılan </w:t>
      </w:r>
      <w:r w:rsidRPr="00924659">
        <w:rPr>
          <w:rFonts w:cs="Times New Roman"/>
          <w:b w:val="0"/>
          <w:i/>
          <w:spacing w:val="-1"/>
          <w:szCs w:val="24"/>
        </w:rPr>
        <w:t xml:space="preserve">in </w:t>
      </w:r>
      <w:proofErr w:type="spellStart"/>
      <w:r w:rsidRPr="00924659">
        <w:rPr>
          <w:rFonts w:cs="Times New Roman"/>
          <w:b w:val="0"/>
          <w:i/>
          <w:spacing w:val="-1"/>
          <w:szCs w:val="24"/>
        </w:rPr>
        <w:t>vitro</w:t>
      </w:r>
      <w:proofErr w:type="spellEnd"/>
      <w:r w:rsidRPr="00924659">
        <w:rPr>
          <w:rFonts w:cs="Times New Roman"/>
          <w:b w:val="0"/>
          <w:spacing w:val="-1"/>
          <w:szCs w:val="24"/>
        </w:rPr>
        <w:t xml:space="preserve"> </w:t>
      </w:r>
      <w:r w:rsidR="00A214B7" w:rsidRPr="00924659">
        <w:rPr>
          <w:rFonts w:cs="Times New Roman"/>
          <w:b w:val="0"/>
          <w:spacing w:val="-1"/>
          <w:szCs w:val="24"/>
        </w:rPr>
        <w:t>çalışmaları</w:t>
      </w:r>
      <w:r w:rsidRPr="00924659">
        <w:rPr>
          <w:rFonts w:cs="Times New Roman"/>
          <w:b w:val="0"/>
          <w:spacing w:val="-1"/>
          <w:szCs w:val="24"/>
        </w:rPr>
        <w:t>n sonuçla</w:t>
      </w:r>
      <w:r w:rsidR="00A214B7" w:rsidRPr="00924659">
        <w:rPr>
          <w:rFonts w:cs="Times New Roman"/>
          <w:b w:val="0"/>
          <w:spacing w:val="-1"/>
          <w:szCs w:val="24"/>
        </w:rPr>
        <w:t>rı</w:t>
      </w:r>
      <w:r w:rsidRPr="00924659">
        <w:rPr>
          <w:rFonts w:cs="Times New Roman"/>
          <w:b w:val="0"/>
          <w:spacing w:val="-1"/>
          <w:szCs w:val="24"/>
        </w:rPr>
        <w:t xml:space="preserve">na göre CYP 2C9 ve daha az olmak üzere CYP 3A4,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metabolizmasında rol oynayan başlıca karaciğer enzimleridir.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Gerek </w:t>
      </w:r>
      <w:r w:rsidRPr="00924659">
        <w:rPr>
          <w:rFonts w:cs="Times New Roman"/>
          <w:b w:val="0"/>
          <w:i/>
          <w:spacing w:val="-1"/>
          <w:szCs w:val="24"/>
        </w:rPr>
        <w:t xml:space="preserve">in </w:t>
      </w:r>
      <w:proofErr w:type="spellStart"/>
      <w:r w:rsidRPr="00924659">
        <w:rPr>
          <w:rFonts w:cs="Times New Roman"/>
          <w:b w:val="0"/>
          <w:i/>
          <w:spacing w:val="-1"/>
          <w:szCs w:val="24"/>
        </w:rPr>
        <w:t>vitro</w:t>
      </w:r>
      <w:proofErr w:type="spellEnd"/>
      <w:r w:rsidRPr="00924659">
        <w:rPr>
          <w:rFonts w:cs="Times New Roman"/>
          <w:b w:val="0"/>
          <w:spacing w:val="-1"/>
          <w:szCs w:val="24"/>
        </w:rPr>
        <w:t xml:space="preserve"> gerekse </w:t>
      </w:r>
      <w:r w:rsidRPr="00924659">
        <w:rPr>
          <w:rFonts w:cs="Times New Roman"/>
          <w:b w:val="0"/>
          <w:i/>
          <w:spacing w:val="-1"/>
          <w:szCs w:val="24"/>
        </w:rPr>
        <w:t xml:space="preserve">in </w:t>
      </w:r>
      <w:proofErr w:type="spellStart"/>
      <w:r w:rsidRPr="00924659">
        <w:rPr>
          <w:rFonts w:cs="Times New Roman"/>
          <w:b w:val="0"/>
          <w:i/>
          <w:spacing w:val="-1"/>
          <w:szCs w:val="24"/>
        </w:rPr>
        <w:t>vivo</w:t>
      </w:r>
      <w:proofErr w:type="spellEnd"/>
      <w:r w:rsidRPr="00924659">
        <w:rPr>
          <w:rFonts w:cs="Times New Roman"/>
          <w:b w:val="0"/>
          <w:spacing w:val="-1"/>
          <w:szCs w:val="24"/>
        </w:rPr>
        <w:t xml:space="preserve"> deneylerden elde edilen veriler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öncelikle (%70 oranında) CYP 2C9 </w:t>
      </w:r>
      <w:proofErr w:type="spellStart"/>
      <w:r w:rsidRPr="00924659">
        <w:rPr>
          <w:rFonts w:cs="Times New Roman"/>
          <w:b w:val="0"/>
          <w:spacing w:val="-1"/>
          <w:szCs w:val="24"/>
        </w:rPr>
        <w:t>izoenzimi</w:t>
      </w:r>
      <w:proofErr w:type="spellEnd"/>
      <w:r w:rsidRPr="00924659">
        <w:rPr>
          <w:rFonts w:cs="Times New Roman"/>
          <w:b w:val="0"/>
          <w:spacing w:val="-1"/>
          <w:szCs w:val="24"/>
        </w:rPr>
        <w:t xml:space="preserve">; daha az olarak da CYP3A4 tarafından </w:t>
      </w:r>
      <w:proofErr w:type="spellStart"/>
      <w:r w:rsidRPr="00924659">
        <w:rPr>
          <w:rFonts w:cs="Times New Roman"/>
          <w:b w:val="0"/>
          <w:spacing w:val="-1"/>
          <w:szCs w:val="24"/>
        </w:rPr>
        <w:t>metabolize</w:t>
      </w:r>
      <w:proofErr w:type="spellEnd"/>
      <w:r w:rsidRPr="00924659">
        <w:rPr>
          <w:rFonts w:cs="Times New Roman"/>
          <w:b w:val="0"/>
          <w:spacing w:val="-1"/>
          <w:szCs w:val="24"/>
        </w:rPr>
        <w:t xml:space="preserve"> edildiğini göstermektedir.</w:t>
      </w:r>
    </w:p>
    <w:p w:rsidR="00405D0D" w:rsidRPr="00924659" w:rsidRDefault="00405D0D" w:rsidP="00EB30C8">
      <w:pPr>
        <w:shd w:val="clear" w:color="auto" w:fill="FFFFFF"/>
        <w:spacing w:line="276" w:lineRule="auto"/>
        <w:ind w:right="14"/>
        <w:jc w:val="both"/>
        <w:rPr>
          <w:rFonts w:cs="Times New Roman"/>
          <w:b w:val="0"/>
          <w:spacing w:val="-1"/>
          <w:szCs w:val="24"/>
          <w:u w:val="single"/>
        </w:rPr>
      </w:pPr>
      <w:r w:rsidRPr="00924659">
        <w:rPr>
          <w:rFonts w:cs="Times New Roman"/>
          <w:b w:val="0"/>
          <w:spacing w:val="-1"/>
          <w:szCs w:val="24"/>
          <w:u w:val="single"/>
        </w:rPr>
        <w:t>Eliminas</w:t>
      </w:r>
      <w:r w:rsidR="00A214B7" w:rsidRPr="00924659">
        <w:rPr>
          <w:rFonts w:cs="Times New Roman"/>
          <w:b w:val="0"/>
          <w:spacing w:val="-1"/>
          <w:szCs w:val="24"/>
          <w:u w:val="single"/>
        </w:rPr>
        <w:t>y</w:t>
      </w:r>
      <w:r w:rsidRPr="00924659">
        <w:rPr>
          <w:rFonts w:cs="Times New Roman"/>
          <w:b w:val="0"/>
          <w:spacing w:val="-1"/>
          <w:szCs w:val="24"/>
          <w:u w:val="single"/>
        </w:rPr>
        <w:t>on:</w:t>
      </w:r>
    </w:p>
    <w:p w:rsidR="00BD0636" w:rsidRPr="00924659" w:rsidRDefault="00405D0D" w:rsidP="00EB30C8">
      <w:pPr>
        <w:shd w:val="clear" w:color="auto" w:fill="FFFFFF"/>
        <w:spacing w:line="276" w:lineRule="auto"/>
        <w:ind w:right="14"/>
        <w:jc w:val="both"/>
        <w:rPr>
          <w:rFonts w:cs="Times New Roman"/>
          <w:b w:val="0"/>
          <w:spacing w:val="-1"/>
          <w:szCs w:val="24"/>
        </w:rPr>
        <w:sectPr w:rsidR="00BD0636" w:rsidRPr="00924659" w:rsidSect="00AB5541">
          <w:pgSz w:w="11909" w:h="16834"/>
          <w:pgMar w:top="1440" w:right="1277" w:bottom="720" w:left="1276" w:header="708" w:footer="708" w:gutter="0"/>
          <w:cols w:space="60"/>
          <w:noEndnote/>
        </w:sectPr>
      </w:pPr>
      <w:proofErr w:type="spellStart"/>
      <w:r w:rsidRPr="00924659">
        <w:rPr>
          <w:rFonts w:cs="Times New Roman"/>
          <w:b w:val="0"/>
          <w:spacing w:val="-1"/>
          <w:szCs w:val="24"/>
        </w:rPr>
        <w:t>Nateglinid</w:t>
      </w:r>
      <w:proofErr w:type="spellEnd"/>
      <w:r w:rsidRPr="00924659">
        <w:rPr>
          <w:rFonts w:cs="Times New Roman"/>
          <w:b w:val="0"/>
          <w:spacing w:val="-1"/>
          <w:szCs w:val="24"/>
        </w:rPr>
        <w:t xml:space="preserve"> ve </w:t>
      </w:r>
      <w:proofErr w:type="spellStart"/>
      <w:r w:rsidRPr="00924659">
        <w:rPr>
          <w:rFonts w:cs="Times New Roman"/>
          <w:b w:val="0"/>
          <w:spacing w:val="-1"/>
          <w:szCs w:val="24"/>
        </w:rPr>
        <w:t>metabolitleri</w:t>
      </w:r>
      <w:proofErr w:type="spellEnd"/>
      <w:r w:rsidRPr="00924659">
        <w:rPr>
          <w:rFonts w:cs="Times New Roman"/>
          <w:b w:val="0"/>
          <w:spacing w:val="-1"/>
          <w:szCs w:val="24"/>
        </w:rPr>
        <w:t xml:space="preserve">, vücuttan hızla ve tamamen atılır. </w:t>
      </w:r>
      <w:r w:rsidR="00DE5D86" w:rsidRPr="00924659">
        <w:rPr>
          <w:rFonts w:cs="Times New Roman"/>
          <w:b w:val="0"/>
          <w:spacing w:val="-1"/>
          <w:szCs w:val="24"/>
          <w:vertAlign w:val="superscript"/>
        </w:rPr>
        <w:t>14</w:t>
      </w:r>
      <w:r w:rsidRPr="00924659">
        <w:rPr>
          <w:rFonts w:cs="Times New Roman"/>
          <w:b w:val="0"/>
          <w:spacing w:val="-1"/>
          <w:szCs w:val="24"/>
        </w:rPr>
        <w:t xml:space="preserve">C ile işaretlenmiş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dozunun yaklaşık %75'i, dozu izleyen 6 saat içerisinde idrara çıkmış durumdadır. Karbon-14 ile işaretlenmiş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dozunun büyük bölümü (%83'ü) idrarla, bir diğer %10'u dışkıyla vücuttan atılır. Dozun %6-16'sı, hiç değişmeden idrara çıkar. Gönüllülerin ve tip 2 </w:t>
      </w:r>
      <w:proofErr w:type="spellStart"/>
      <w:r w:rsidRPr="00924659">
        <w:rPr>
          <w:rFonts w:cs="Times New Roman"/>
          <w:b w:val="0"/>
          <w:spacing w:val="-1"/>
          <w:szCs w:val="24"/>
        </w:rPr>
        <w:t>diabet</w:t>
      </w:r>
      <w:proofErr w:type="spellEnd"/>
      <w:r w:rsidRPr="00924659">
        <w:rPr>
          <w:rFonts w:cs="Times New Roman"/>
          <w:b w:val="0"/>
          <w:spacing w:val="-1"/>
          <w:szCs w:val="24"/>
        </w:rPr>
        <w:t xml:space="preserve"> </w:t>
      </w:r>
      <w:r w:rsidR="00A214B7" w:rsidRPr="00924659">
        <w:rPr>
          <w:rFonts w:cs="Times New Roman"/>
          <w:b w:val="0"/>
          <w:spacing w:val="-1"/>
          <w:szCs w:val="24"/>
        </w:rPr>
        <w:t>hastaları</w:t>
      </w:r>
      <w:r w:rsidRPr="00924659">
        <w:rPr>
          <w:rFonts w:cs="Times New Roman"/>
          <w:b w:val="0"/>
          <w:spacing w:val="-1"/>
          <w:szCs w:val="24"/>
        </w:rPr>
        <w:t xml:space="preserve">nın katıldığı bütün çalışmalarda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plazma konsantrasyonla</w:t>
      </w:r>
      <w:r w:rsidR="005679AF" w:rsidRPr="00924659">
        <w:rPr>
          <w:rFonts w:cs="Times New Roman"/>
          <w:b w:val="0"/>
          <w:spacing w:val="-1"/>
          <w:szCs w:val="24"/>
        </w:rPr>
        <w:t>rı</w:t>
      </w:r>
      <w:r w:rsidRPr="00924659">
        <w:rPr>
          <w:rFonts w:cs="Times New Roman"/>
          <w:b w:val="0"/>
          <w:spacing w:val="-1"/>
          <w:szCs w:val="24"/>
        </w:rPr>
        <w:t xml:space="preserve"> hızla azalmış</w:t>
      </w:r>
      <w:r w:rsidR="00A214B7" w:rsidRPr="00924659">
        <w:rPr>
          <w:rFonts w:cs="Times New Roman"/>
          <w:b w:val="0"/>
          <w:spacing w:val="-1"/>
          <w:szCs w:val="24"/>
        </w:rPr>
        <w:t xml:space="preserve"> </w:t>
      </w:r>
      <w:r w:rsidRPr="00924659">
        <w:rPr>
          <w:rFonts w:cs="Times New Roman"/>
          <w:b w:val="0"/>
          <w:spacing w:val="-1"/>
          <w:szCs w:val="24"/>
        </w:rPr>
        <w:t>ve eliminasyon ya</w:t>
      </w:r>
      <w:r w:rsidR="00DE5D86" w:rsidRPr="00924659">
        <w:rPr>
          <w:rFonts w:cs="Times New Roman"/>
          <w:b w:val="0"/>
          <w:spacing w:val="-1"/>
          <w:szCs w:val="24"/>
        </w:rPr>
        <w:t>rı</w:t>
      </w:r>
      <w:r w:rsidRPr="00924659">
        <w:rPr>
          <w:rFonts w:cs="Times New Roman"/>
          <w:b w:val="0"/>
          <w:spacing w:val="-1"/>
          <w:szCs w:val="24"/>
        </w:rPr>
        <w:t>-ömrü ortalama 1.5 saat olmuştur. Günde 3 defa 2</w:t>
      </w:r>
      <w:r w:rsidR="00DE5D86" w:rsidRPr="00924659">
        <w:rPr>
          <w:rFonts w:cs="Times New Roman"/>
          <w:b w:val="0"/>
          <w:spacing w:val="-1"/>
          <w:szCs w:val="24"/>
        </w:rPr>
        <w:t>40 miligrama kadar çıkan dozlar</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lastRenderedPageBreak/>
        <w:t>kullanıldığında, eliminasyon ya</w:t>
      </w:r>
      <w:r w:rsidR="00DE5D86" w:rsidRPr="00924659">
        <w:rPr>
          <w:rFonts w:cs="Times New Roman"/>
          <w:b w:val="0"/>
          <w:spacing w:val="-1"/>
          <w:szCs w:val="24"/>
        </w:rPr>
        <w:t>rı</w:t>
      </w:r>
      <w:r w:rsidRPr="00924659">
        <w:rPr>
          <w:rFonts w:cs="Times New Roman"/>
          <w:b w:val="0"/>
          <w:spacing w:val="-1"/>
          <w:szCs w:val="24"/>
        </w:rPr>
        <w:t xml:space="preserve">-ömrünün kısa olmasına uygun bir şekilde,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birikmemektedir.</w:t>
      </w:r>
    </w:p>
    <w:p w:rsidR="00405D0D" w:rsidRPr="00924659" w:rsidRDefault="00405D0D" w:rsidP="00EB30C8">
      <w:pPr>
        <w:shd w:val="clear" w:color="auto" w:fill="FFFFFF"/>
        <w:spacing w:line="276" w:lineRule="auto"/>
        <w:ind w:right="14"/>
        <w:jc w:val="both"/>
        <w:rPr>
          <w:rFonts w:cs="Times New Roman"/>
          <w:b w:val="0"/>
          <w:spacing w:val="-1"/>
          <w:szCs w:val="24"/>
          <w:u w:val="single"/>
        </w:rPr>
      </w:pPr>
      <w:r w:rsidRPr="00924659">
        <w:rPr>
          <w:rFonts w:cs="Times New Roman"/>
          <w:b w:val="0"/>
          <w:spacing w:val="-1"/>
          <w:szCs w:val="24"/>
          <w:u w:val="single"/>
        </w:rPr>
        <w:t>Doğrusallık/doğrusal olmayan durum:</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1 hafta boyunca her yemekten önce </w:t>
      </w:r>
      <w:r w:rsidR="00DE5D86" w:rsidRPr="00924659">
        <w:rPr>
          <w:rFonts w:cs="Times New Roman"/>
          <w:b w:val="0"/>
          <w:spacing w:val="-1"/>
          <w:szCs w:val="24"/>
        </w:rPr>
        <w:t>120</w:t>
      </w:r>
      <w:r w:rsidRPr="00924659">
        <w:rPr>
          <w:rFonts w:cs="Times New Roman"/>
          <w:b w:val="0"/>
          <w:spacing w:val="-1"/>
          <w:szCs w:val="24"/>
        </w:rPr>
        <w:t xml:space="preserve">-240 mg arasında </w:t>
      </w:r>
      <w:proofErr w:type="spellStart"/>
      <w:r w:rsidR="00DE5D86" w:rsidRPr="00924659">
        <w:rPr>
          <w:rFonts w:cs="Times New Roman"/>
          <w:b w:val="0"/>
          <w:spacing w:val="-1"/>
          <w:szCs w:val="24"/>
        </w:rPr>
        <w:t>nateglinid</w:t>
      </w:r>
      <w:proofErr w:type="spellEnd"/>
      <w:r w:rsidRPr="00924659">
        <w:rPr>
          <w:rFonts w:cs="Times New Roman"/>
          <w:b w:val="0"/>
          <w:spacing w:val="-1"/>
          <w:szCs w:val="24"/>
        </w:rPr>
        <w:t xml:space="preserve"> kullanan tip 2 </w:t>
      </w:r>
      <w:proofErr w:type="spellStart"/>
      <w:r w:rsidRPr="00924659">
        <w:rPr>
          <w:rFonts w:cs="Times New Roman"/>
          <w:b w:val="0"/>
          <w:spacing w:val="-1"/>
          <w:szCs w:val="24"/>
        </w:rPr>
        <w:t>diabet</w:t>
      </w:r>
      <w:proofErr w:type="spellEnd"/>
      <w:r w:rsidRPr="00924659">
        <w:rPr>
          <w:rFonts w:cs="Times New Roman"/>
          <w:b w:val="0"/>
          <w:spacing w:val="-1"/>
          <w:szCs w:val="24"/>
        </w:rPr>
        <w:t xml:space="preserve"> </w:t>
      </w:r>
      <w:r w:rsidR="00A214B7" w:rsidRPr="00924659">
        <w:rPr>
          <w:rFonts w:cs="Times New Roman"/>
          <w:b w:val="0"/>
          <w:spacing w:val="-1"/>
          <w:szCs w:val="24"/>
        </w:rPr>
        <w:t>vakaları</w:t>
      </w:r>
      <w:r w:rsidRPr="00924659">
        <w:rPr>
          <w:rFonts w:cs="Times New Roman"/>
          <w:b w:val="0"/>
          <w:spacing w:val="-1"/>
          <w:szCs w:val="24"/>
        </w:rPr>
        <w:t xml:space="preserve">ndaki </w:t>
      </w:r>
      <w:proofErr w:type="spellStart"/>
      <w:r w:rsidRPr="00924659">
        <w:rPr>
          <w:rFonts w:cs="Times New Roman"/>
          <w:b w:val="0"/>
          <w:spacing w:val="-1"/>
          <w:szCs w:val="24"/>
        </w:rPr>
        <w:t>nateglinid</w:t>
      </w:r>
      <w:proofErr w:type="spellEnd"/>
      <w:r w:rsidRPr="00924659">
        <w:rPr>
          <w:rFonts w:cs="Times New Roman"/>
          <w:b w:val="0"/>
          <w:spacing w:val="-1"/>
          <w:szCs w:val="24"/>
        </w:rPr>
        <w:t xml:space="preserve"> </w:t>
      </w:r>
      <w:proofErr w:type="spellStart"/>
      <w:r w:rsidRPr="00924659">
        <w:rPr>
          <w:rFonts w:cs="Times New Roman"/>
          <w:b w:val="0"/>
          <w:spacing w:val="-1"/>
          <w:szCs w:val="24"/>
        </w:rPr>
        <w:t>farmakokinetiğinin</w:t>
      </w:r>
      <w:proofErr w:type="spellEnd"/>
      <w:r w:rsidRPr="00924659">
        <w:rPr>
          <w:rFonts w:cs="Times New Roman"/>
          <w:b w:val="0"/>
          <w:spacing w:val="-1"/>
          <w:szCs w:val="24"/>
        </w:rPr>
        <w:t xml:space="preserve">, hem EAA hem </w:t>
      </w:r>
      <w:proofErr w:type="spellStart"/>
      <w:r w:rsidRPr="00924659">
        <w:rPr>
          <w:rFonts w:cs="Times New Roman"/>
          <w:b w:val="0"/>
          <w:spacing w:val="-1"/>
          <w:szCs w:val="24"/>
        </w:rPr>
        <w:t>C</w:t>
      </w:r>
      <w:r w:rsidRPr="00924659">
        <w:rPr>
          <w:rFonts w:cs="Times New Roman"/>
          <w:b w:val="0"/>
          <w:spacing w:val="-1"/>
          <w:sz w:val="28"/>
          <w:szCs w:val="28"/>
          <w:vertAlign w:val="subscript"/>
        </w:rPr>
        <w:t>max</w:t>
      </w:r>
      <w:proofErr w:type="spellEnd"/>
      <w:r w:rsidRPr="00924659">
        <w:rPr>
          <w:rFonts w:cs="Times New Roman"/>
          <w:b w:val="0"/>
          <w:spacing w:val="-1"/>
          <w:szCs w:val="24"/>
        </w:rPr>
        <w:t xml:space="preserve"> değerleri bakımından lineer karakter taşıdığı ve </w:t>
      </w:r>
      <w:r w:rsidR="00A214B7" w:rsidRPr="00924659">
        <w:rPr>
          <w:rFonts w:cs="Times New Roman"/>
          <w:b w:val="0"/>
          <w:spacing w:val="-1"/>
          <w:szCs w:val="24"/>
        </w:rPr>
        <w:t>maksimal plazma konsantrasyonları</w:t>
      </w:r>
      <w:r w:rsidRPr="00924659">
        <w:rPr>
          <w:rFonts w:cs="Times New Roman"/>
          <w:b w:val="0"/>
          <w:spacing w:val="-1"/>
          <w:szCs w:val="24"/>
        </w:rPr>
        <w:t>na ulaşılması için geçen sürenin (</w:t>
      </w:r>
      <w:proofErr w:type="spellStart"/>
      <w:r w:rsidRPr="00924659">
        <w:rPr>
          <w:rFonts w:cs="Times New Roman"/>
          <w:b w:val="0"/>
          <w:spacing w:val="-1"/>
          <w:szCs w:val="24"/>
        </w:rPr>
        <w:t>t</w:t>
      </w:r>
      <w:r w:rsidRPr="00924659">
        <w:rPr>
          <w:rFonts w:cs="Times New Roman"/>
          <w:b w:val="0"/>
          <w:spacing w:val="-1"/>
          <w:sz w:val="28"/>
          <w:szCs w:val="28"/>
          <w:vertAlign w:val="subscript"/>
        </w:rPr>
        <w:t>max</w:t>
      </w:r>
      <w:proofErr w:type="spellEnd"/>
      <w:r w:rsidRPr="00924659">
        <w:rPr>
          <w:rFonts w:cs="Times New Roman"/>
          <w:b w:val="0"/>
          <w:spacing w:val="-1"/>
          <w:szCs w:val="24"/>
        </w:rPr>
        <w:t>), doza bağlı olarak değişmediği görülmüştür.</w:t>
      </w:r>
    </w:p>
    <w:p w:rsidR="00405D0D" w:rsidRPr="00924659" w:rsidRDefault="00405D0D" w:rsidP="00EB30C8">
      <w:pPr>
        <w:shd w:val="clear" w:color="auto" w:fill="FFFFFF"/>
        <w:spacing w:line="276" w:lineRule="auto"/>
        <w:ind w:right="14"/>
        <w:jc w:val="both"/>
        <w:rPr>
          <w:rFonts w:cs="Times New Roman"/>
          <w:b w:val="0"/>
          <w:spacing w:val="-1"/>
          <w:szCs w:val="24"/>
          <w:u w:val="single"/>
        </w:rPr>
      </w:pPr>
      <w:r w:rsidRPr="00924659">
        <w:rPr>
          <w:rFonts w:cs="Times New Roman"/>
          <w:b w:val="0"/>
          <w:spacing w:val="-1"/>
          <w:szCs w:val="24"/>
          <w:u w:val="single"/>
        </w:rPr>
        <w:t>Besinlerin etkisi</w:t>
      </w:r>
    </w:p>
    <w:p w:rsidR="00405D0D" w:rsidRPr="00924659" w:rsidRDefault="00405D0D" w:rsidP="00EB30C8">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Yemeklerden sonra verilmesi, </w:t>
      </w:r>
      <w:proofErr w:type="spellStart"/>
      <w:r w:rsidRPr="00924659">
        <w:rPr>
          <w:rFonts w:cs="Times New Roman"/>
          <w:b w:val="0"/>
          <w:spacing w:val="-1"/>
          <w:szCs w:val="24"/>
        </w:rPr>
        <w:t>nateglinidin</w:t>
      </w:r>
      <w:proofErr w:type="spellEnd"/>
      <w:r w:rsidRPr="00924659">
        <w:rPr>
          <w:rFonts w:cs="Times New Roman"/>
          <w:b w:val="0"/>
          <w:spacing w:val="-1"/>
          <w:szCs w:val="24"/>
        </w:rPr>
        <w:t xml:space="preserve"> emilme derecesini (EAA değerini) etkilemez. Ancak </w:t>
      </w:r>
      <w:proofErr w:type="spellStart"/>
      <w:r w:rsidRPr="00924659">
        <w:rPr>
          <w:rFonts w:cs="Times New Roman"/>
          <w:b w:val="0"/>
          <w:spacing w:val="-1"/>
          <w:szCs w:val="24"/>
        </w:rPr>
        <w:t>C</w:t>
      </w:r>
      <w:r w:rsidRPr="00924659">
        <w:rPr>
          <w:rFonts w:cs="Times New Roman"/>
          <w:b w:val="0"/>
          <w:spacing w:val="-1"/>
          <w:sz w:val="28"/>
          <w:szCs w:val="28"/>
          <w:vertAlign w:val="subscript"/>
        </w:rPr>
        <w:t>max</w:t>
      </w:r>
      <w:proofErr w:type="spellEnd"/>
      <w:r w:rsidRPr="00924659">
        <w:rPr>
          <w:rFonts w:cs="Times New Roman"/>
          <w:b w:val="0"/>
          <w:spacing w:val="-1"/>
          <w:szCs w:val="24"/>
        </w:rPr>
        <w:t xml:space="preserve"> değerinde azalma ve doruk plazma konsantrasyon süresi ile karakterize emilim hızında gecikme meydana gelir, </w:t>
      </w:r>
      <w:proofErr w:type="spellStart"/>
      <w:r w:rsidR="00AC6739" w:rsidRPr="00924659">
        <w:rPr>
          <w:rFonts w:cs="Times New Roman"/>
          <w:b w:val="0"/>
          <w:spacing w:val="-1"/>
          <w:szCs w:val="24"/>
        </w:rPr>
        <w:t>t</w:t>
      </w:r>
      <w:r w:rsidR="00AC6739" w:rsidRPr="00924659">
        <w:rPr>
          <w:rFonts w:cs="Times New Roman"/>
          <w:b w:val="0"/>
          <w:spacing w:val="-1"/>
          <w:sz w:val="28"/>
          <w:szCs w:val="28"/>
          <w:vertAlign w:val="subscript"/>
        </w:rPr>
        <w:t>max</w:t>
      </w:r>
      <w:proofErr w:type="spellEnd"/>
      <w:r w:rsidRPr="00924659">
        <w:rPr>
          <w:rFonts w:cs="Times New Roman"/>
          <w:b w:val="0"/>
          <w:spacing w:val="-1"/>
          <w:szCs w:val="24"/>
        </w:rPr>
        <w:t xml:space="preserve"> değeri uzar. Bu nedenle </w:t>
      </w:r>
      <w:proofErr w:type="spellStart"/>
      <w:r w:rsidR="003D10D8" w:rsidRPr="00924659">
        <w:rPr>
          <w:rFonts w:cs="Times New Roman"/>
          <w:b w:val="0"/>
          <w:spacing w:val="-1"/>
          <w:szCs w:val="24"/>
        </w:rPr>
        <w:t>İNGLEX</w:t>
      </w:r>
      <w:r w:rsidR="00D47FCD" w:rsidRPr="00924659">
        <w:rPr>
          <w:rFonts w:cs="Times New Roman"/>
          <w:b w:val="0"/>
          <w:spacing w:val="-1"/>
          <w:szCs w:val="24"/>
        </w:rPr>
        <w:t>’in</w:t>
      </w:r>
      <w:proofErr w:type="spellEnd"/>
      <w:r w:rsidRPr="00924659">
        <w:rPr>
          <w:rFonts w:cs="Times New Roman"/>
          <w:b w:val="0"/>
          <w:spacing w:val="-1"/>
          <w:szCs w:val="24"/>
        </w:rPr>
        <w:t xml:space="preserve"> yemekten önce alınması önerilmektedir. İlaç genellikle, yemekten önceki 1 dakika içerisinde alınır ama yemekten önceki 30 dakika içerisinde de alınabilir.</w:t>
      </w:r>
    </w:p>
    <w:p w:rsidR="00DE5D86" w:rsidRPr="00924659" w:rsidRDefault="00DE5D86" w:rsidP="00EB30C8">
      <w:pPr>
        <w:spacing w:line="276" w:lineRule="auto"/>
        <w:jc w:val="both"/>
        <w:rPr>
          <w:rFonts w:ascii="Times-Roman" w:hAnsi="Times-Roman" w:cs="Times-Roman"/>
          <w:szCs w:val="24"/>
        </w:rPr>
      </w:pPr>
    </w:p>
    <w:p w:rsidR="00405D0D" w:rsidRPr="00924659" w:rsidRDefault="00405D0D" w:rsidP="00EB30C8">
      <w:pPr>
        <w:spacing w:line="276" w:lineRule="auto"/>
        <w:jc w:val="both"/>
        <w:rPr>
          <w:rFonts w:ascii="Times-Roman" w:hAnsi="Times-Roman" w:cs="Times-Roman"/>
          <w:szCs w:val="24"/>
        </w:rPr>
      </w:pPr>
      <w:r w:rsidRPr="00924659">
        <w:rPr>
          <w:rFonts w:ascii="Times-Roman" w:hAnsi="Times-Roman" w:cs="Times-Roman"/>
          <w:szCs w:val="24"/>
        </w:rPr>
        <w:t>Hastalardaki karakteristik özellikler:</w:t>
      </w:r>
    </w:p>
    <w:p w:rsidR="00DE5D86" w:rsidRPr="00924659" w:rsidRDefault="00DE5D86" w:rsidP="00DE5D86">
      <w:pPr>
        <w:pStyle w:val="Default"/>
        <w:spacing w:line="276" w:lineRule="auto"/>
        <w:jc w:val="both"/>
        <w:rPr>
          <w:color w:val="auto"/>
        </w:rPr>
      </w:pPr>
      <w:r w:rsidRPr="00924659">
        <w:rPr>
          <w:color w:val="auto"/>
          <w:u w:val="single"/>
        </w:rPr>
        <w:t>Cinsiyet</w:t>
      </w:r>
      <w:r w:rsidRPr="00924659">
        <w:rPr>
          <w:color w:val="auto"/>
        </w:rPr>
        <w:t>:</w:t>
      </w:r>
      <w:r w:rsidR="003A629B" w:rsidRPr="00924659">
        <w:rPr>
          <w:color w:val="auto"/>
        </w:rPr>
        <w:t xml:space="preserve"> </w:t>
      </w:r>
      <w:r w:rsidRPr="00924659">
        <w:rPr>
          <w:color w:val="auto"/>
        </w:rPr>
        <w:t xml:space="preserve">Kadın ve erkekler arasında </w:t>
      </w:r>
      <w:proofErr w:type="spellStart"/>
      <w:r w:rsidRPr="00924659">
        <w:rPr>
          <w:color w:val="auto"/>
        </w:rPr>
        <w:t>nateglinidin</w:t>
      </w:r>
      <w:proofErr w:type="spellEnd"/>
      <w:r w:rsidRPr="00924659">
        <w:rPr>
          <w:color w:val="auto"/>
        </w:rPr>
        <w:t xml:space="preserve"> </w:t>
      </w:r>
      <w:proofErr w:type="spellStart"/>
      <w:r w:rsidRPr="00924659">
        <w:rPr>
          <w:color w:val="auto"/>
        </w:rPr>
        <w:t>farmakokinetik</w:t>
      </w:r>
      <w:proofErr w:type="spellEnd"/>
      <w:r w:rsidRPr="00924659">
        <w:rPr>
          <w:color w:val="auto"/>
        </w:rPr>
        <w:t xml:space="preserve"> özellikleri açısından klinik olarak anlamlı herhangi bir fark gözlenmemiştir. Dolayısıyla, cinsiyete dayanan herhangi bir doz ayarlaması gerekli değildir. </w:t>
      </w:r>
    </w:p>
    <w:p w:rsidR="00DE5D86" w:rsidRPr="00924659" w:rsidRDefault="00DE5D86" w:rsidP="00DE5D86">
      <w:pPr>
        <w:pStyle w:val="Default"/>
        <w:spacing w:line="276" w:lineRule="auto"/>
        <w:jc w:val="both"/>
        <w:rPr>
          <w:color w:val="auto"/>
        </w:rPr>
      </w:pPr>
      <w:r w:rsidRPr="00924659">
        <w:rPr>
          <w:color w:val="auto"/>
          <w:u w:val="single"/>
        </w:rPr>
        <w:t>Irk:</w:t>
      </w:r>
      <w:r w:rsidRPr="00924659">
        <w:rPr>
          <w:color w:val="auto"/>
        </w:rPr>
        <w:t xml:space="preserve"> Beyaz ırk, siyah ırk ve diğer etnik kökenler arasında gerçekleştirilen popülasyon </w:t>
      </w:r>
      <w:proofErr w:type="spellStart"/>
      <w:r w:rsidRPr="00924659">
        <w:rPr>
          <w:color w:val="auto"/>
        </w:rPr>
        <w:t>farmakokinetik</w:t>
      </w:r>
      <w:proofErr w:type="spellEnd"/>
      <w:r w:rsidRPr="00924659">
        <w:rPr>
          <w:color w:val="auto"/>
        </w:rPr>
        <w:t xml:space="preserve"> analizinde elde edilen bulgular, ırkın </w:t>
      </w:r>
      <w:proofErr w:type="spellStart"/>
      <w:r w:rsidRPr="00924659">
        <w:rPr>
          <w:color w:val="auto"/>
        </w:rPr>
        <w:t>nateglinidin</w:t>
      </w:r>
      <w:proofErr w:type="spellEnd"/>
      <w:r w:rsidRPr="00924659">
        <w:rPr>
          <w:color w:val="auto"/>
        </w:rPr>
        <w:t xml:space="preserve"> </w:t>
      </w:r>
      <w:proofErr w:type="spellStart"/>
      <w:r w:rsidRPr="00924659">
        <w:rPr>
          <w:color w:val="auto"/>
        </w:rPr>
        <w:t>farmakokinetik</w:t>
      </w:r>
      <w:proofErr w:type="spellEnd"/>
      <w:r w:rsidRPr="00924659">
        <w:rPr>
          <w:color w:val="auto"/>
        </w:rPr>
        <w:t xml:space="preserve"> özellikleri üzerinde küçük bir etkisinin olduğunu düşündürmektedir. </w:t>
      </w:r>
    </w:p>
    <w:p w:rsidR="00DE5D86" w:rsidRPr="00924659" w:rsidRDefault="00DE5D86" w:rsidP="00DE5D86">
      <w:pPr>
        <w:spacing w:line="276" w:lineRule="auto"/>
        <w:jc w:val="both"/>
        <w:rPr>
          <w:b w:val="0"/>
          <w:szCs w:val="24"/>
        </w:rPr>
      </w:pPr>
      <w:r w:rsidRPr="00924659">
        <w:rPr>
          <w:b w:val="0"/>
          <w:szCs w:val="24"/>
          <w:u w:val="single"/>
        </w:rPr>
        <w:t>Karaciğer bozukluğu:</w:t>
      </w:r>
      <w:r w:rsidRPr="00924659">
        <w:rPr>
          <w:b w:val="0"/>
          <w:szCs w:val="24"/>
        </w:rPr>
        <w:t xml:space="preserve"> Hafif ila orta şiddette </w:t>
      </w:r>
      <w:proofErr w:type="spellStart"/>
      <w:r w:rsidRPr="00924659">
        <w:rPr>
          <w:b w:val="0"/>
          <w:szCs w:val="24"/>
        </w:rPr>
        <w:t>hepatik</w:t>
      </w:r>
      <w:proofErr w:type="spellEnd"/>
      <w:r w:rsidRPr="00924659">
        <w:rPr>
          <w:b w:val="0"/>
          <w:szCs w:val="24"/>
        </w:rPr>
        <w:t xml:space="preserve"> bozukluk görülen diyabetli olmayan gönüllülerde </w:t>
      </w:r>
      <w:proofErr w:type="spellStart"/>
      <w:r w:rsidRPr="00924659">
        <w:rPr>
          <w:b w:val="0"/>
          <w:szCs w:val="24"/>
        </w:rPr>
        <w:t>nateglinidin</w:t>
      </w:r>
      <w:proofErr w:type="spellEnd"/>
      <w:r w:rsidRPr="00924659">
        <w:rPr>
          <w:b w:val="0"/>
          <w:szCs w:val="24"/>
        </w:rPr>
        <w:t xml:space="preserve"> sistemik </w:t>
      </w:r>
      <w:proofErr w:type="spellStart"/>
      <w:r w:rsidRPr="00924659">
        <w:rPr>
          <w:b w:val="0"/>
          <w:szCs w:val="24"/>
        </w:rPr>
        <w:t>yararlanımı</w:t>
      </w:r>
      <w:proofErr w:type="spellEnd"/>
      <w:r w:rsidRPr="00924659">
        <w:rPr>
          <w:b w:val="0"/>
          <w:szCs w:val="24"/>
        </w:rPr>
        <w:t xml:space="preserve"> ve yarılanma ömrü, sağlıklı gönüllülere kıyasla klinik olarak belirgin bir derecede fark göstermemiştir. </w:t>
      </w:r>
    </w:p>
    <w:p w:rsidR="00BD0636" w:rsidRPr="00924659" w:rsidRDefault="00E0389D" w:rsidP="003A629B">
      <w:pPr>
        <w:spacing w:line="276" w:lineRule="auto"/>
        <w:jc w:val="both"/>
        <w:rPr>
          <w:rFonts w:ascii="Times-Roman" w:hAnsi="Times-Roman" w:cs="Times-Roman"/>
          <w:b w:val="0"/>
          <w:szCs w:val="24"/>
          <w:u w:val="single"/>
        </w:rPr>
      </w:pPr>
      <w:r w:rsidRPr="00924659">
        <w:rPr>
          <w:rFonts w:ascii="Times-Roman" w:hAnsi="Times-Roman" w:cs="Times-Roman"/>
          <w:b w:val="0"/>
          <w:szCs w:val="24"/>
          <w:u w:val="single"/>
        </w:rPr>
        <w:t>Böbrek hastaları:</w:t>
      </w:r>
      <w:r w:rsidR="003A629B" w:rsidRPr="00924659">
        <w:rPr>
          <w:rFonts w:ascii="Times-Roman" w:hAnsi="Times-Roman" w:cs="Times-Roman"/>
          <w:b w:val="0"/>
          <w:szCs w:val="24"/>
          <w:u w:val="single"/>
        </w:rPr>
        <w:t xml:space="preserve"> </w:t>
      </w:r>
      <w:r w:rsidR="003A629B" w:rsidRPr="00924659">
        <w:rPr>
          <w:b w:val="0"/>
          <w:szCs w:val="24"/>
        </w:rPr>
        <w:t>Hafif, orta şiddette (</w:t>
      </w:r>
      <w:proofErr w:type="spellStart"/>
      <w:r w:rsidR="003A629B" w:rsidRPr="00924659">
        <w:rPr>
          <w:b w:val="0"/>
          <w:szCs w:val="24"/>
        </w:rPr>
        <w:t>kreatinin</w:t>
      </w:r>
      <w:proofErr w:type="spellEnd"/>
      <w:r w:rsidR="003A629B" w:rsidRPr="00924659">
        <w:rPr>
          <w:b w:val="0"/>
          <w:szCs w:val="24"/>
        </w:rPr>
        <w:t xml:space="preserve"> </w:t>
      </w:r>
      <w:proofErr w:type="spellStart"/>
      <w:r w:rsidR="003A629B" w:rsidRPr="00924659">
        <w:rPr>
          <w:b w:val="0"/>
          <w:szCs w:val="24"/>
        </w:rPr>
        <w:t>klirensi</w:t>
      </w:r>
      <w:proofErr w:type="spellEnd"/>
      <w:r w:rsidR="003A629B" w:rsidRPr="00924659">
        <w:rPr>
          <w:b w:val="0"/>
          <w:szCs w:val="24"/>
        </w:rPr>
        <w:t xml:space="preserve"> 31-50 ml/</w:t>
      </w:r>
      <w:proofErr w:type="spellStart"/>
      <w:r w:rsidR="003A629B" w:rsidRPr="00924659">
        <w:rPr>
          <w:b w:val="0"/>
          <w:szCs w:val="24"/>
        </w:rPr>
        <w:t>dak</w:t>
      </w:r>
      <w:proofErr w:type="spellEnd"/>
      <w:r w:rsidR="003A629B" w:rsidRPr="00924659">
        <w:rPr>
          <w:b w:val="0"/>
          <w:szCs w:val="24"/>
        </w:rPr>
        <w:t>) ve şiddetli (</w:t>
      </w:r>
      <w:proofErr w:type="spellStart"/>
      <w:r w:rsidR="003A629B" w:rsidRPr="00924659">
        <w:rPr>
          <w:b w:val="0"/>
          <w:szCs w:val="24"/>
        </w:rPr>
        <w:t>kreatinin</w:t>
      </w:r>
      <w:proofErr w:type="spellEnd"/>
      <w:r w:rsidR="003A629B" w:rsidRPr="00924659">
        <w:rPr>
          <w:b w:val="0"/>
          <w:szCs w:val="24"/>
        </w:rPr>
        <w:t xml:space="preserve"> </w:t>
      </w:r>
      <w:proofErr w:type="spellStart"/>
      <w:r w:rsidR="003A629B" w:rsidRPr="00924659">
        <w:rPr>
          <w:b w:val="0"/>
          <w:szCs w:val="24"/>
        </w:rPr>
        <w:t>klirensi</w:t>
      </w:r>
      <w:proofErr w:type="spellEnd"/>
      <w:r w:rsidR="003A629B" w:rsidRPr="00924659">
        <w:rPr>
          <w:b w:val="0"/>
          <w:szCs w:val="24"/>
        </w:rPr>
        <w:t xml:space="preserve"> 15-30 ml/</w:t>
      </w:r>
      <w:proofErr w:type="spellStart"/>
      <w:r w:rsidR="003A629B" w:rsidRPr="00924659">
        <w:rPr>
          <w:b w:val="0"/>
          <w:szCs w:val="24"/>
        </w:rPr>
        <w:t>dak</w:t>
      </w:r>
      <w:proofErr w:type="spellEnd"/>
      <w:r w:rsidR="003A629B" w:rsidRPr="00924659">
        <w:rPr>
          <w:b w:val="0"/>
          <w:szCs w:val="24"/>
        </w:rPr>
        <w:t xml:space="preserve">) </w:t>
      </w:r>
      <w:proofErr w:type="spellStart"/>
      <w:r w:rsidR="003A629B" w:rsidRPr="00924659">
        <w:rPr>
          <w:b w:val="0"/>
          <w:szCs w:val="24"/>
        </w:rPr>
        <w:t>renal</w:t>
      </w:r>
      <w:proofErr w:type="spellEnd"/>
      <w:r w:rsidR="003A629B" w:rsidRPr="00924659">
        <w:rPr>
          <w:b w:val="0"/>
          <w:szCs w:val="24"/>
        </w:rPr>
        <w:t xml:space="preserve"> bozukluk (diyaliz yaptırmayan) görülen diyabetli hastalarda </w:t>
      </w:r>
      <w:proofErr w:type="spellStart"/>
      <w:r w:rsidR="003A629B" w:rsidRPr="00924659">
        <w:rPr>
          <w:b w:val="0"/>
          <w:szCs w:val="24"/>
        </w:rPr>
        <w:t>nateglinidin</w:t>
      </w:r>
      <w:proofErr w:type="spellEnd"/>
      <w:r w:rsidR="003A629B" w:rsidRPr="00924659">
        <w:rPr>
          <w:b w:val="0"/>
          <w:szCs w:val="24"/>
        </w:rPr>
        <w:t xml:space="preserve"> sistemik </w:t>
      </w:r>
      <w:proofErr w:type="spellStart"/>
      <w:r w:rsidR="003A629B" w:rsidRPr="00924659">
        <w:rPr>
          <w:b w:val="0"/>
          <w:szCs w:val="24"/>
        </w:rPr>
        <w:t>yararlanımı</w:t>
      </w:r>
      <w:proofErr w:type="spellEnd"/>
      <w:r w:rsidR="003A629B" w:rsidRPr="00924659">
        <w:rPr>
          <w:b w:val="0"/>
          <w:szCs w:val="24"/>
        </w:rPr>
        <w:t xml:space="preserve"> ve yarılanma ömrü sağlıklı gönüllülere kıyasla klinik olarak anlamlı bir derecede fark göstermemiştir. Diyalize bağımlı diyabetli hastalarda sistemik </w:t>
      </w:r>
      <w:proofErr w:type="spellStart"/>
      <w:r w:rsidR="003A629B" w:rsidRPr="00924659">
        <w:rPr>
          <w:b w:val="0"/>
          <w:szCs w:val="24"/>
        </w:rPr>
        <w:t>yararlanım</w:t>
      </w:r>
      <w:proofErr w:type="spellEnd"/>
      <w:r w:rsidR="003A629B" w:rsidRPr="00924659">
        <w:rPr>
          <w:b w:val="0"/>
          <w:szCs w:val="24"/>
        </w:rPr>
        <w:t xml:space="preserve"> ve yarılanma ömrü sağlıklı gönüllülerinki ile benzerdir. Güvenlilik bu popülasyonda bozulmuş olmasa da, düşük </w:t>
      </w:r>
      <w:proofErr w:type="spellStart"/>
      <w:r w:rsidR="003A629B" w:rsidRPr="00924659">
        <w:rPr>
          <w:b w:val="0"/>
          <w:szCs w:val="24"/>
        </w:rPr>
        <w:t>C</w:t>
      </w:r>
      <w:r w:rsidR="003A629B" w:rsidRPr="00924659">
        <w:rPr>
          <w:b w:val="0"/>
          <w:szCs w:val="24"/>
          <w:vertAlign w:val="subscript"/>
        </w:rPr>
        <w:t>maks</w:t>
      </w:r>
      <w:proofErr w:type="spellEnd"/>
      <w:r w:rsidR="003A629B" w:rsidRPr="00924659">
        <w:rPr>
          <w:b w:val="0"/>
          <w:szCs w:val="24"/>
        </w:rPr>
        <w:t xml:space="preserve"> ışığında doz ayarlaması gerekli olabilir.</w:t>
      </w:r>
    </w:p>
    <w:p w:rsidR="003A629B" w:rsidRPr="00924659" w:rsidRDefault="003A629B" w:rsidP="003A629B">
      <w:pPr>
        <w:shd w:val="clear" w:color="auto" w:fill="FFFFFF"/>
        <w:spacing w:line="276" w:lineRule="auto"/>
        <w:ind w:right="14"/>
        <w:jc w:val="both"/>
        <w:rPr>
          <w:rFonts w:cs="Times New Roman"/>
          <w:b w:val="0"/>
          <w:spacing w:val="-1"/>
          <w:szCs w:val="24"/>
        </w:rPr>
      </w:pPr>
    </w:p>
    <w:p w:rsidR="00405D0D" w:rsidRPr="00924659" w:rsidRDefault="00D47FCD" w:rsidP="003A629B">
      <w:pPr>
        <w:shd w:val="clear" w:color="auto" w:fill="FFFFFF"/>
        <w:spacing w:line="276" w:lineRule="auto"/>
        <w:ind w:right="14"/>
        <w:jc w:val="both"/>
        <w:rPr>
          <w:rFonts w:cs="Times New Roman"/>
          <w:spacing w:val="-1"/>
          <w:szCs w:val="24"/>
        </w:rPr>
      </w:pPr>
      <w:r w:rsidRPr="00924659">
        <w:rPr>
          <w:rFonts w:cs="Times New Roman"/>
          <w:spacing w:val="-1"/>
          <w:szCs w:val="24"/>
        </w:rPr>
        <w:t xml:space="preserve">5.3. </w:t>
      </w:r>
      <w:r w:rsidR="00405D0D" w:rsidRPr="00924659">
        <w:rPr>
          <w:rFonts w:cs="Times New Roman"/>
          <w:spacing w:val="-1"/>
          <w:szCs w:val="24"/>
        </w:rPr>
        <w:t>Klinik öncesi güvenlilik verileri</w:t>
      </w:r>
    </w:p>
    <w:p w:rsidR="00405D0D" w:rsidRPr="00924659" w:rsidRDefault="00405D0D" w:rsidP="003A629B">
      <w:pPr>
        <w:shd w:val="clear" w:color="auto" w:fill="FFFFFF"/>
        <w:spacing w:line="276" w:lineRule="auto"/>
        <w:ind w:right="14"/>
        <w:jc w:val="both"/>
        <w:rPr>
          <w:rFonts w:cs="Times New Roman"/>
          <w:b w:val="0"/>
          <w:spacing w:val="-1"/>
          <w:szCs w:val="24"/>
        </w:rPr>
      </w:pPr>
      <w:r w:rsidRPr="00924659">
        <w:rPr>
          <w:rFonts w:cs="Times New Roman"/>
          <w:b w:val="0"/>
          <w:spacing w:val="-1"/>
          <w:szCs w:val="24"/>
        </w:rPr>
        <w:t xml:space="preserve">Klinik öncesi veriler, ilaç emniyeti farmakolojisi, tekrarlanan doz </w:t>
      </w:r>
      <w:proofErr w:type="spellStart"/>
      <w:r w:rsidRPr="00924659">
        <w:rPr>
          <w:rFonts w:cs="Times New Roman"/>
          <w:b w:val="0"/>
          <w:spacing w:val="-1"/>
          <w:szCs w:val="24"/>
        </w:rPr>
        <w:t>toksisitesi</w:t>
      </w:r>
      <w:proofErr w:type="spellEnd"/>
      <w:r w:rsidRPr="00924659">
        <w:rPr>
          <w:rFonts w:cs="Times New Roman"/>
          <w:b w:val="0"/>
          <w:spacing w:val="-1"/>
          <w:szCs w:val="24"/>
        </w:rPr>
        <w:t xml:space="preserve">, </w:t>
      </w:r>
      <w:proofErr w:type="spellStart"/>
      <w:r w:rsidRPr="00924659">
        <w:rPr>
          <w:rFonts w:cs="Times New Roman"/>
          <w:b w:val="0"/>
          <w:spacing w:val="-1"/>
          <w:szCs w:val="24"/>
        </w:rPr>
        <w:t>genotoksik</w:t>
      </w:r>
      <w:proofErr w:type="spellEnd"/>
      <w:r w:rsidRPr="00924659">
        <w:rPr>
          <w:rFonts w:cs="Times New Roman"/>
          <w:b w:val="0"/>
          <w:spacing w:val="-1"/>
          <w:szCs w:val="24"/>
        </w:rPr>
        <w:t xml:space="preserve"> etki, </w:t>
      </w:r>
      <w:proofErr w:type="spellStart"/>
      <w:r w:rsidRPr="00924659">
        <w:rPr>
          <w:rFonts w:cs="Times New Roman"/>
          <w:b w:val="0"/>
          <w:spacing w:val="-1"/>
          <w:szCs w:val="24"/>
        </w:rPr>
        <w:t>karsinojenik</w:t>
      </w:r>
      <w:proofErr w:type="spellEnd"/>
      <w:r w:rsidRPr="00924659">
        <w:rPr>
          <w:rFonts w:cs="Times New Roman"/>
          <w:b w:val="0"/>
          <w:spacing w:val="-1"/>
          <w:szCs w:val="24"/>
        </w:rPr>
        <w:t xml:space="preserve"> potansiyel</w:t>
      </w:r>
      <w:r w:rsidR="003A629B" w:rsidRPr="00924659">
        <w:rPr>
          <w:rFonts w:cs="Times New Roman"/>
          <w:b w:val="0"/>
          <w:spacing w:val="-1"/>
          <w:szCs w:val="24"/>
        </w:rPr>
        <w:t xml:space="preserve">, </w:t>
      </w:r>
      <w:proofErr w:type="spellStart"/>
      <w:r w:rsidR="003A629B" w:rsidRPr="00924659">
        <w:rPr>
          <w:rFonts w:cs="Times New Roman"/>
          <w:b w:val="0"/>
          <w:spacing w:val="-1"/>
          <w:szCs w:val="24"/>
        </w:rPr>
        <w:t>fertilite</w:t>
      </w:r>
      <w:proofErr w:type="spellEnd"/>
      <w:r w:rsidRPr="00924659">
        <w:rPr>
          <w:rFonts w:cs="Times New Roman"/>
          <w:b w:val="0"/>
          <w:spacing w:val="-1"/>
          <w:szCs w:val="24"/>
        </w:rPr>
        <w:t xml:space="preserve"> ve üreme </w:t>
      </w:r>
      <w:proofErr w:type="spellStart"/>
      <w:r w:rsidRPr="00924659">
        <w:rPr>
          <w:rFonts w:cs="Times New Roman"/>
          <w:b w:val="0"/>
          <w:spacing w:val="-1"/>
          <w:szCs w:val="24"/>
        </w:rPr>
        <w:t>toksisitesi</w:t>
      </w:r>
      <w:proofErr w:type="spellEnd"/>
      <w:r w:rsidRPr="00924659">
        <w:rPr>
          <w:rFonts w:cs="Times New Roman"/>
          <w:b w:val="0"/>
          <w:spacing w:val="-1"/>
          <w:szCs w:val="24"/>
        </w:rPr>
        <w:t xml:space="preserve"> modellerinde elde edilen sonuçlara göre insanlar için özel bir tehlikenin söz konusu olmadığını göstermiştir.</w:t>
      </w:r>
    </w:p>
    <w:p w:rsidR="003A629B" w:rsidRPr="00924659" w:rsidRDefault="003A629B" w:rsidP="003A629B">
      <w:pPr>
        <w:pStyle w:val="Default"/>
        <w:spacing w:line="276" w:lineRule="auto"/>
        <w:jc w:val="both"/>
        <w:rPr>
          <w:color w:val="auto"/>
        </w:rPr>
      </w:pPr>
      <w:r w:rsidRPr="00924659">
        <w:rPr>
          <w:color w:val="auto"/>
        </w:rPr>
        <w:t xml:space="preserve">1000 mg/kg (insanlarda önerilen, günde üç kez öğünlerden önce alınan 120 </w:t>
      </w:r>
      <w:proofErr w:type="spellStart"/>
      <w:r w:rsidRPr="00924659">
        <w:rPr>
          <w:color w:val="auto"/>
        </w:rPr>
        <w:t>mg’lık</w:t>
      </w:r>
      <w:proofErr w:type="spellEnd"/>
      <w:r w:rsidRPr="00924659">
        <w:rPr>
          <w:color w:val="auto"/>
        </w:rPr>
        <w:t xml:space="preserve"> maksimum </w:t>
      </w:r>
      <w:proofErr w:type="spellStart"/>
      <w:r w:rsidRPr="00924659">
        <w:rPr>
          <w:color w:val="auto"/>
        </w:rPr>
        <w:t>terapötik</w:t>
      </w:r>
      <w:proofErr w:type="spellEnd"/>
      <w:r w:rsidRPr="00924659">
        <w:rPr>
          <w:color w:val="auto"/>
        </w:rPr>
        <w:t xml:space="preserve"> dozun yaklaşık 60 katı) dozunda </w:t>
      </w:r>
      <w:proofErr w:type="spellStart"/>
      <w:r w:rsidRPr="00924659">
        <w:rPr>
          <w:color w:val="auto"/>
        </w:rPr>
        <w:t>nateglinid</w:t>
      </w:r>
      <w:proofErr w:type="spellEnd"/>
      <w:r w:rsidRPr="00924659">
        <w:rPr>
          <w:color w:val="auto"/>
        </w:rPr>
        <w:t xml:space="preserve"> uygulanan sıçanların yavrularında </w:t>
      </w:r>
      <w:proofErr w:type="spellStart"/>
      <w:r w:rsidRPr="00924659">
        <w:rPr>
          <w:color w:val="auto"/>
        </w:rPr>
        <w:t>perinatal</w:t>
      </w:r>
      <w:proofErr w:type="spellEnd"/>
      <w:r w:rsidRPr="00924659">
        <w:rPr>
          <w:color w:val="auto"/>
        </w:rPr>
        <w:t xml:space="preserve"> ve </w:t>
      </w:r>
      <w:proofErr w:type="spellStart"/>
      <w:r w:rsidRPr="00924659">
        <w:rPr>
          <w:color w:val="auto"/>
        </w:rPr>
        <w:t>postnatal</w:t>
      </w:r>
      <w:proofErr w:type="spellEnd"/>
      <w:r w:rsidRPr="00924659">
        <w:rPr>
          <w:color w:val="auto"/>
        </w:rPr>
        <w:t xml:space="preserve"> dönemlerde vücut ağırlıkları daha düşük olmuştur. </w:t>
      </w:r>
      <w:proofErr w:type="spellStart"/>
      <w:r w:rsidRPr="00924659">
        <w:rPr>
          <w:color w:val="auto"/>
        </w:rPr>
        <w:t>Nateglinid</w:t>
      </w:r>
      <w:proofErr w:type="spellEnd"/>
      <w:r w:rsidRPr="00924659">
        <w:rPr>
          <w:color w:val="auto"/>
        </w:rPr>
        <w:t xml:space="preserve"> sıçanlarda </w:t>
      </w:r>
      <w:proofErr w:type="spellStart"/>
      <w:r w:rsidRPr="00924659">
        <w:rPr>
          <w:color w:val="auto"/>
        </w:rPr>
        <w:t>teratojenik</w:t>
      </w:r>
      <w:proofErr w:type="spellEnd"/>
      <w:r w:rsidRPr="00924659">
        <w:rPr>
          <w:color w:val="auto"/>
        </w:rPr>
        <w:t xml:space="preserve"> olmamıştır. Tavşanlarda </w:t>
      </w:r>
      <w:proofErr w:type="spellStart"/>
      <w:r w:rsidRPr="00924659">
        <w:rPr>
          <w:color w:val="auto"/>
        </w:rPr>
        <w:t>embriyonik</w:t>
      </w:r>
      <w:proofErr w:type="spellEnd"/>
      <w:r w:rsidRPr="00924659">
        <w:rPr>
          <w:color w:val="auto"/>
        </w:rPr>
        <w:t xml:space="preserve"> gelişim olumsuz etkilenmiştir ve safra kesesi </w:t>
      </w:r>
      <w:proofErr w:type="spellStart"/>
      <w:r w:rsidRPr="00924659">
        <w:rPr>
          <w:color w:val="auto"/>
        </w:rPr>
        <w:t>agenezisi</w:t>
      </w:r>
      <w:proofErr w:type="spellEnd"/>
      <w:r w:rsidRPr="00924659">
        <w:rPr>
          <w:color w:val="auto"/>
        </w:rPr>
        <w:t xml:space="preserve"> ve küçük safra kesesi </w:t>
      </w:r>
      <w:proofErr w:type="spellStart"/>
      <w:r w:rsidRPr="00924659">
        <w:rPr>
          <w:color w:val="auto"/>
        </w:rPr>
        <w:t>insidansı</w:t>
      </w:r>
      <w:proofErr w:type="spellEnd"/>
      <w:r w:rsidRPr="00924659">
        <w:rPr>
          <w:color w:val="auto"/>
        </w:rPr>
        <w:t xml:space="preserve"> 300 ve 500 mg/kg dozlarında (insanlarda önerilen, günde üç kez öğünlerden önce alınan 120 </w:t>
      </w:r>
      <w:proofErr w:type="spellStart"/>
      <w:r w:rsidRPr="00924659">
        <w:rPr>
          <w:color w:val="auto"/>
        </w:rPr>
        <w:t>mg’lık</w:t>
      </w:r>
      <w:proofErr w:type="spellEnd"/>
      <w:r w:rsidRPr="00924659">
        <w:rPr>
          <w:color w:val="auto"/>
        </w:rPr>
        <w:t xml:space="preserve"> maksimum </w:t>
      </w:r>
      <w:proofErr w:type="spellStart"/>
      <w:r w:rsidRPr="00924659">
        <w:rPr>
          <w:color w:val="auto"/>
        </w:rPr>
        <w:t>terapötik</w:t>
      </w:r>
      <w:proofErr w:type="spellEnd"/>
      <w:r w:rsidRPr="00924659">
        <w:rPr>
          <w:color w:val="auto"/>
        </w:rPr>
        <w:t xml:space="preserve"> dozun 24 ve 40 katı) artmışken 150 mg/kg dozunda (</w:t>
      </w:r>
      <w:proofErr w:type="spellStart"/>
      <w:r w:rsidRPr="00924659">
        <w:rPr>
          <w:color w:val="auto"/>
        </w:rPr>
        <w:t>nateglinidin</w:t>
      </w:r>
      <w:proofErr w:type="spellEnd"/>
      <w:r w:rsidRPr="00924659">
        <w:rPr>
          <w:color w:val="auto"/>
        </w:rPr>
        <w:t xml:space="preserve"> insandaki maksimum </w:t>
      </w:r>
      <w:proofErr w:type="spellStart"/>
      <w:r w:rsidRPr="00924659">
        <w:rPr>
          <w:color w:val="auto"/>
        </w:rPr>
        <w:t>terapötik</w:t>
      </w:r>
      <w:proofErr w:type="spellEnd"/>
      <w:r w:rsidRPr="00924659">
        <w:rPr>
          <w:color w:val="auto"/>
        </w:rPr>
        <w:t xml:space="preserve"> </w:t>
      </w:r>
      <w:proofErr w:type="spellStart"/>
      <w:r w:rsidRPr="00924659">
        <w:rPr>
          <w:color w:val="auto"/>
        </w:rPr>
        <w:t>maruziyetinin</w:t>
      </w:r>
      <w:proofErr w:type="spellEnd"/>
      <w:r w:rsidRPr="00924659">
        <w:rPr>
          <w:color w:val="auto"/>
        </w:rPr>
        <w:t xml:space="preserve"> 12 katı) bu etki görülmemiştir. Sıçanlardaki çalışmalar, 1000 mg/</w:t>
      </w:r>
      <w:proofErr w:type="spellStart"/>
      <w:r w:rsidRPr="00924659">
        <w:rPr>
          <w:color w:val="auto"/>
        </w:rPr>
        <w:t>kg’a</w:t>
      </w:r>
      <w:proofErr w:type="spellEnd"/>
      <w:r w:rsidRPr="00924659">
        <w:rPr>
          <w:color w:val="auto"/>
        </w:rPr>
        <w:t xml:space="preserve"> (insanlarda önerilen, günde üç kez öğünlerden önce alınan 120 </w:t>
      </w:r>
      <w:proofErr w:type="spellStart"/>
      <w:r w:rsidRPr="00924659">
        <w:rPr>
          <w:color w:val="auto"/>
        </w:rPr>
        <w:t>mg’lık</w:t>
      </w:r>
      <w:proofErr w:type="spellEnd"/>
      <w:r w:rsidRPr="00924659">
        <w:rPr>
          <w:color w:val="auto"/>
        </w:rPr>
        <w:t xml:space="preserve"> maksimum </w:t>
      </w:r>
      <w:proofErr w:type="spellStart"/>
      <w:r w:rsidRPr="00924659">
        <w:rPr>
          <w:color w:val="auto"/>
        </w:rPr>
        <w:t>terapötik</w:t>
      </w:r>
      <w:proofErr w:type="spellEnd"/>
      <w:r w:rsidRPr="00924659">
        <w:rPr>
          <w:color w:val="auto"/>
        </w:rPr>
        <w:t xml:space="preserve"> dozun yaklaşık 60 katı) kadarki dozlarda doğum üzerinde herhangi bir etki göstermemiştir (bkz. bölüm 4.6).</w:t>
      </w:r>
    </w:p>
    <w:p w:rsidR="0099633B" w:rsidRPr="00924659" w:rsidRDefault="0099633B" w:rsidP="00EB30C8">
      <w:pPr>
        <w:shd w:val="clear" w:color="auto" w:fill="FFFFFF"/>
        <w:spacing w:line="276" w:lineRule="auto"/>
        <w:ind w:right="14"/>
        <w:jc w:val="both"/>
        <w:rPr>
          <w:rFonts w:cs="Times New Roman"/>
          <w:spacing w:val="-1"/>
          <w:szCs w:val="24"/>
        </w:rPr>
      </w:pPr>
    </w:p>
    <w:p w:rsidR="00405D0D" w:rsidRPr="00924659" w:rsidRDefault="00D47FCD" w:rsidP="00EB30C8">
      <w:pPr>
        <w:shd w:val="clear" w:color="auto" w:fill="FFFFFF"/>
        <w:spacing w:line="276" w:lineRule="auto"/>
        <w:ind w:right="14"/>
        <w:jc w:val="both"/>
        <w:rPr>
          <w:rFonts w:cs="Times New Roman"/>
          <w:spacing w:val="-1"/>
          <w:szCs w:val="24"/>
        </w:rPr>
      </w:pPr>
      <w:r w:rsidRPr="00924659">
        <w:rPr>
          <w:rFonts w:cs="Times New Roman"/>
          <w:spacing w:val="-1"/>
          <w:szCs w:val="24"/>
        </w:rPr>
        <w:t xml:space="preserve">6. </w:t>
      </w:r>
      <w:r w:rsidR="00405D0D" w:rsidRPr="00924659">
        <w:rPr>
          <w:rFonts w:cs="Times New Roman"/>
          <w:spacing w:val="-1"/>
          <w:szCs w:val="24"/>
        </w:rPr>
        <w:t>FARMASÖTİK ÖZELLİKLERİ</w:t>
      </w:r>
    </w:p>
    <w:p w:rsidR="00405D0D" w:rsidRPr="00924659" w:rsidRDefault="00405D0D" w:rsidP="00EB30C8">
      <w:pPr>
        <w:shd w:val="clear" w:color="auto" w:fill="FFFFFF"/>
        <w:spacing w:line="276" w:lineRule="auto"/>
        <w:ind w:right="14"/>
        <w:jc w:val="both"/>
        <w:rPr>
          <w:rFonts w:cs="Times New Roman"/>
          <w:spacing w:val="-1"/>
          <w:szCs w:val="24"/>
        </w:rPr>
      </w:pPr>
      <w:r w:rsidRPr="00924659">
        <w:rPr>
          <w:rFonts w:cs="Times New Roman"/>
          <w:spacing w:val="-1"/>
          <w:szCs w:val="24"/>
        </w:rPr>
        <w:t>6.1.</w:t>
      </w:r>
      <w:r w:rsidR="00D47FCD" w:rsidRPr="00924659">
        <w:rPr>
          <w:rFonts w:cs="Times New Roman"/>
          <w:spacing w:val="-1"/>
          <w:szCs w:val="24"/>
        </w:rPr>
        <w:t xml:space="preserve"> </w:t>
      </w:r>
      <w:r w:rsidRPr="00924659">
        <w:rPr>
          <w:rFonts w:cs="Times New Roman"/>
          <w:spacing w:val="-1"/>
          <w:szCs w:val="24"/>
        </w:rPr>
        <w:t>Yardımcı maddelerin listesi</w:t>
      </w:r>
    </w:p>
    <w:p w:rsidR="00405D0D" w:rsidRPr="00924659" w:rsidRDefault="00405D0D" w:rsidP="00EB30C8">
      <w:pPr>
        <w:shd w:val="clear" w:color="auto" w:fill="FFFFFF"/>
        <w:spacing w:line="276" w:lineRule="auto"/>
        <w:jc w:val="both"/>
        <w:rPr>
          <w:rFonts w:cs="Times New Roman"/>
          <w:b w:val="0"/>
          <w:spacing w:val="-1"/>
          <w:szCs w:val="24"/>
        </w:rPr>
      </w:pPr>
      <w:r w:rsidRPr="00924659">
        <w:rPr>
          <w:rFonts w:cs="Times New Roman"/>
          <w:b w:val="0"/>
          <w:spacing w:val="-1"/>
          <w:szCs w:val="24"/>
        </w:rPr>
        <w:t xml:space="preserve">Laktoz </w:t>
      </w:r>
      <w:proofErr w:type="spellStart"/>
      <w:r w:rsidRPr="00924659">
        <w:rPr>
          <w:rFonts w:cs="Times New Roman"/>
          <w:b w:val="0"/>
          <w:spacing w:val="-1"/>
          <w:szCs w:val="24"/>
        </w:rPr>
        <w:t>monohidrat</w:t>
      </w:r>
      <w:proofErr w:type="spellEnd"/>
    </w:p>
    <w:p w:rsidR="00202A90" w:rsidRPr="00924659" w:rsidRDefault="00202A90" w:rsidP="00EB30C8">
      <w:pPr>
        <w:shd w:val="clear" w:color="auto" w:fill="FFFFFF"/>
        <w:spacing w:line="276" w:lineRule="auto"/>
        <w:jc w:val="both"/>
        <w:rPr>
          <w:rFonts w:cs="Times New Roman"/>
          <w:b w:val="0"/>
          <w:spacing w:val="-1"/>
          <w:szCs w:val="24"/>
        </w:rPr>
      </w:pPr>
      <w:proofErr w:type="spellStart"/>
      <w:r w:rsidRPr="00924659">
        <w:rPr>
          <w:b w:val="0"/>
        </w:rPr>
        <w:t>Kroskarmeloz</w:t>
      </w:r>
      <w:proofErr w:type="spellEnd"/>
      <w:r w:rsidRPr="00924659">
        <w:rPr>
          <w:b w:val="0"/>
        </w:rPr>
        <w:t xml:space="preserve"> sodyum</w:t>
      </w:r>
      <w:r w:rsidRPr="00924659">
        <w:rPr>
          <w:rFonts w:cs="Times New Roman"/>
          <w:b w:val="0"/>
          <w:spacing w:val="-1"/>
          <w:szCs w:val="24"/>
        </w:rPr>
        <w:t xml:space="preserve"> </w:t>
      </w:r>
    </w:p>
    <w:p w:rsidR="00405D0D" w:rsidRPr="00924659" w:rsidRDefault="008D4C89" w:rsidP="00EB30C8">
      <w:pPr>
        <w:shd w:val="clear" w:color="auto" w:fill="FFFFFF"/>
        <w:spacing w:line="276" w:lineRule="auto"/>
        <w:jc w:val="both"/>
        <w:rPr>
          <w:rFonts w:cs="Times New Roman"/>
          <w:b w:val="0"/>
          <w:spacing w:val="-1"/>
          <w:szCs w:val="24"/>
        </w:rPr>
      </w:pPr>
      <w:proofErr w:type="spellStart"/>
      <w:r w:rsidRPr="00924659">
        <w:rPr>
          <w:rFonts w:cs="Times New Roman"/>
          <w:b w:val="0"/>
          <w:spacing w:val="-1"/>
          <w:szCs w:val="24"/>
        </w:rPr>
        <w:t>Mikrokristalize</w:t>
      </w:r>
      <w:proofErr w:type="spellEnd"/>
      <w:r w:rsidR="00405D0D" w:rsidRPr="00924659">
        <w:rPr>
          <w:rFonts w:cs="Times New Roman"/>
          <w:b w:val="0"/>
          <w:spacing w:val="-1"/>
          <w:szCs w:val="24"/>
        </w:rPr>
        <w:t xml:space="preserve"> selüloz</w:t>
      </w:r>
      <w:r w:rsidR="00D467CF" w:rsidRPr="00924659">
        <w:rPr>
          <w:b w:val="0"/>
        </w:rPr>
        <w:t xml:space="preserve"> PH 101</w:t>
      </w:r>
    </w:p>
    <w:p w:rsidR="00D467CF" w:rsidRPr="00924659" w:rsidRDefault="00D467CF" w:rsidP="00EB30C8">
      <w:pPr>
        <w:shd w:val="clear" w:color="auto" w:fill="FFFFFF"/>
        <w:spacing w:line="276" w:lineRule="auto"/>
        <w:jc w:val="both"/>
        <w:rPr>
          <w:b w:val="0"/>
        </w:rPr>
      </w:pPr>
      <w:proofErr w:type="spellStart"/>
      <w:r w:rsidRPr="00924659">
        <w:rPr>
          <w:b w:val="0"/>
        </w:rPr>
        <w:t>Mikrokristalize</w:t>
      </w:r>
      <w:proofErr w:type="spellEnd"/>
      <w:r w:rsidRPr="00924659">
        <w:rPr>
          <w:b w:val="0"/>
        </w:rPr>
        <w:t xml:space="preserve"> selüloz PH 102</w:t>
      </w:r>
    </w:p>
    <w:p w:rsidR="00D467CF" w:rsidRPr="00924659" w:rsidRDefault="00D467CF" w:rsidP="00EB30C8">
      <w:pPr>
        <w:shd w:val="clear" w:color="auto" w:fill="FFFFFF"/>
        <w:spacing w:line="276" w:lineRule="auto"/>
        <w:jc w:val="both"/>
        <w:rPr>
          <w:b w:val="0"/>
        </w:rPr>
      </w:pPr>
      <w:r w:rsidRPr="00924659">
        <w:rPr>
          <w:b w:val="0"/>
        </w:rPr>
        <w:t>PVP K 30</w:t>
      </w:r>
    </w:p>
    <w:p w:rsidR="00D467CF" w:rsidRPr="00924659" w:rsidRDefault="00D467CF" w:rsidP="00EB30C8">
      <w:pPr>
        <w:shd w:val="clear" w:color="auto" w:fill="FFFFFF"/>
        <w:spacing w:line="276" w:lineRule="auto"/>
        <w:jc w:val="both"/>
        <w:rPr>
          <w:b w:val="0"/>
        </w:rPr>
      </w:pPr>
      <w:proofErr w:type="spellStart"/>
      <w:r w:rsidRPr="00924659">
        <w:rPr>
          <w:b w:val="0"/>
        </w:rPr>
        <w:t>Kolloidal</w:t>
      </w:r>
      <w:proofErr w:type="spellEnd"/>
      <w:r w:rsidRPr="00924659">
        <w:rPr>
          <w:b w:val="0"/>
        </w:rPr>
        <w:t xml:space="preserve"> silikon dioksit</w:t>
      </w:r>
    </w:p>
    <w:p w:rsidR="00D467CF" w:rsidRPr="00924659" w:rsidRDefault="00D467CF" w:rsidP="00EB30C8">
      <w:pPr>
        <w:shd w:val="clear" w:color="auto" w:fill="FFFFFF"/>
        <w:spacing w:line="276" w:lineRule="auto"/>
        <w:jc w:val="both"/>
        <w:rPr>
          <w:b w:val="0"/>
        </w:rPr>
      </w:pPr>
      <w:r w:rsidRPr="00924659">
        <w:rPr>
          <w:b w:val="0"/>
        </w:rPr>
        <w:t xml:space="preserve">Magnezyum </w:t>
      </w:r>
      <w:proofErr w:type="spellStart"/>
      <w:r w:rsidRPr="00924659">
        <w:rPr>
          <w:b w:val="0"/>
        </w:rPr>
        <w:t>stearat</w:t>
      </w:r>
      <w:proofErr w:type="spellEnd"/>
    </w:p>
    <w:p w:rsidR="00D467CF" w:rsidRPr="00924659" w:rsidRDefault="00D7334B" w:rsidP="00EB30C8">
      <w:pPr>
        <w:shd w:val="clear" w:color="auto" w:fill="FFFFFF"/>
        <w:spacing w:line="276" w:lineRule="auto"/>
        <w:jc w:val="both"/>
        <w:rPr>
          <w:b w:val="0"/>
          <w:u w:val="single"/>
        </w:rPr>
      </w:pPr>
      <w:r w:rsidRPr="00924659">
        <w:rPr>
          <w:b w:val="0"/>
          <w:u w:val="single"/>
        </w:rPr>
        <w:t xml:space="preserve">Film kaplama maddesi: </w:t>
      </w:r>
      <w:proofErr w:type="spellStart"/>
      <w:r w:rsidR="00202A90" w:rsidRPr="00924659">
        <w:rPr>
          <w:b w:val="0"/>
          <w:u w:val="single"/>
        </w:rPr>
        <w:t>Opadry</w:t>
      </w:r>
      <w:proofErr w:type="spellEnd"/>
      <w:r w:rsidR="00202A90" w:rsidRPr="00924659">
        <w:rPr>
          <w:b w:val="0"/>
          <w:u w:val="single"/>
        </w:rPr>
        <w:t xml:space="preserve"> AMB </w:t>
      </w:r>
      <w:proofErr w:type="spellStart"/>
      <w:r w:rsidR="00202A90" w:rsidRPr="00924659">
        <w:rPr>
          <w:b w:val="0"/>
          <w:u w:val="single"/>
        </w:rPr>
        <w:t>Yellow</w:t>
      </w:r>
      <w:proofErr w:type="spellEnd"/>
      <w:r w:rsidR="00202A90" w:rsidRPr="00924659">
        <w:rPr>
          <w:b w:val="0"/>
          <w:u w:val="single"/>
        </w:rPr>
        <w:t xml:space="preserve"> 80W220001</w:t>
      </w:r>
    </w:p>
    <w:p w:rsidR="00D467CF" w:rsidRPr="00924659" w:rsidRDefault="00D7334B" w:rsidP="00EB30C8">
      <w:pPr>
        <w:shd w:val="clear" w:color="auto" w:fill="FFFFFF"/>
        <w:spacing w:line="276" w:lineRule="auto"/>
        <w:jc w:val="both"/>
        <w:rPr>
          <w:b w:val="0"/>
        </w:rPr>
      </w:pPr>
      <w:r w:rsidRPr="00924659">
        <w:rPr>
          <w:b w:val="0"/>
        </w:rPr>
        <w:t xml:space="preserve">Soya </w:t>
      </w:r>
      <w:proofErr w:type="spellStart"/>
      <w:r w:rsidRPr="00924659">
        <w:rPr>
          <w:b w:val="0"/>
        </w:rPr>
        <w:t>lesitin</w:t>
      </w:r>
      <w:proofErr w:type="spellEnd"/>
    </w:p>
    <w:p w:rsidR="00D7334B" w:rsidRPr="00924659" w:rsidRDefault="00D7334B" w:rsidP="00EB30C8">
      <w:pPr>
        <w:shd w:val="clear" w:color="auto" w:fill="FFFFFF"/>
        <w:spacing w:line="276" w:lineRule="auto"/>
        <w:jc w:val="both"/>
        <w:rPr>
          <w:b w:val="0"/>
        </w:rPr>
      </w:pPr>
      <w:r w:rsidRPr="00924659">
        <w:rPr>
          <w:b w:val="0"/>
        </w:rPr>
        <w:lastRenderedPageBreak/>
        <w:t>Sarı demir oksit</w:t>
      </w:r>
    </w:p>
    <w:p w:rsidR="00D7334B" w:rsidRPr="00924659" w:rsidRDefault="00D7334B" w:rsidP="00EB30C8">
      <w:pPr>
        <w:shd w:val="clear" w:color="auto" w:fill="FFFFFF"/>
        <w:spacing w:line="276" w:lineRule="auto"/>
        <w:jc w:val="both"/>
        <w:rPr>
          <w:b w:val="0"/>
        </w:rPr>
      </w:pPr>
      <w:r w:rsidRPr="00924659">
        <w:rPr>
          <w:b w:val="0"/>
        </w:rPr>
        <w:t>Kırmızı demir oksit</w:t>
      </w:r>
    </w:p>
    <w:p w:rsidR="00D7334B" w:rsidRPr="00924659" w:rsidRDefault="00D7334B" w:rsidP="00EB30C8">
      <w:pPr>
        <w:shd w:val="clear" w:color="auto" w:fill="FFFFFF"/>
        <w:spacing w:line="276" w:lineRule="auto"/>
        <w:jc w:val="both"/>
        <w:rPr>
          <w:b w:val="0"/>
        </w:rPr>
      </w:pPr>
      <w:proofErr w:type="spellStart"/>
      <w:r w:rsidRPr="00924659">
        <w:rPr>
          <w:b w:val="0"/>
        </w:rPr>
        <w:t>Polivinil</w:t>
      </w:r>
      <w:proofErr w:type="spellEnd"/>
      <w:r w:rsidRPr="00924659">
        <w:rPr>
          <w:b w:val="0"/>
        </w:rPr>
        <w:t xml:space="preserve"> alkol</w:t>
      </w:r>
    </w:p>
    <w:p w:rsidR="00D7334B" w:rsidRPr="00924659" w:rsidRDefault="00D7334B" w:rsidP="00EB30C8">
      <w:pPr>
        <w:shd w:val="clear" w:color="auto" w:fill="FFFFFF"/>
        <w:spacing w:line="276" w:lineRule="auto"/>
        <w:jc w:val="both"/>
        <w:rPr>
          <w:b w:val="0"/>
        </w:rPr>
      </w:pPr>
      <w:proofErr w:type="spellStart"/>
      <w:r w:rsidRPr="00924659">
        <w:rPr>
          <w:b w:val="0"/>
        </w:rPr>
        <w:t>Ksantan</w:t>
      </w:r>
      <w:proofErr w:type="spellEnd"/>
      <w:r w:rsidRPr="00924659">
        <w:rPr>
          <w:b w:val="0"/>
        </w:rPr>
        <w:t xml:space="preserve"> </w:t>
      </w:r>
      <w:proofErr w:type="spellStart"/>
      <w:r w:rsidRPr="00924659">
        <w:rPr>
          <w:b w:val="0"/>
        </w:rPr>
        <w:t>gum</w:t>
      </w:r>
      <w:proofErr w:type="spellEnd"/>
    </w:p>
    <w:p w:rsidR="00D7334B" w:rsidRPr="00924659" w:rsidRDefault="00D7334B" w:rsidP="00EB30C8">
      <w:pPr>
        <w:shd w:val="clear" w:color="auto" w:fill="FFFFFF"/>
        <w:spacing w:line="276" w:lineRule="auto"/>
        <w:jc w:val="both"/>
        <w:rPr>
          <w:b w:val="0"/>
        </w:rPr>
      </w:pPr>
      <w:r w:rsidRPr="00924659">
        <w:rPr>
          <w:b w:val="0"/>
        </w:rPr>
        <w:t>Talk</w:t>
      </w:r>
    </w:p>
    <w:p w:rsidR="00D7334B" w:rsidRPr="00924659" w:rsidRDefault="00D7334B" w:rsidP="00EB30C8">
      <w:pPr>
        <w:shd w:val="clear" w:color="auto" w:fill="FFFFFF"/>
        <w:spacing w:line="276" w:lineRule="auto"/>
        <w:jc w:val="both"/>
        <w:rPr>
          <w:b w:val="0"/>
        </w:rPr>
      </w:pPr>
      <w:r w:rsidRPr="00924659">
        <w:rPr>
          <w:b w:val="0"/>
        </w:rPr>
        <w:t>Titanyum dioksit</w:t>
      </w:r>
    </w:p>
    <w:p w:rsidR="00D7334B" w:rsidRPr="00924659" w:rsidRDefault="00D7334B" w:rsidP="00EB30C8">
      <w:pPr>
        <w:shd w:val="clear" w:color="auto" w:fill="FFFFFF"/>
        <w:spacing w:line="276" w:lineRule="auto"/>
        <w:jc w:val="both"/>
        <w:rPr>
          <w:b w:val="0"/>
          <w:highlight w:val="yellow"/>
        </w:rPr>
      </w:pPr>
    </w:p>
    <w:p w:rsidR="00405D0D" w:rsidRPr="00924659" w:rsidRDefault="00BD0636" w:rsidP="00EB30C8">
      <w:pPr>
        <w:shd w:val="clear" w:color="auto" w:fill="FFFFFF"/>
        <w:tabs>
          <w:tab w:val="left" w:pos="619"/>
        </w:tabs>
        <w:spacing w:line="276" w:lineRule="auto"/>
        <w:jc w:val="both"/>
        <w:rPr>
          <w:rFonts w:cs="Times New Roman"/>
          <w:spacing w:val="-1"/>
          <w:szCs w:val="24"/>
        </w:rPr>
      </w:pPr>
      <w:r w:rsidRPr="00924659">
        <w:rPr>
          <w:rFonts w:cs="Times New Roman"/>
          <w:spacing w:val="-1"/>
          <w:szCs w:val="24"/>
        </w:rPr>
        <w:t xml:space="preserve">6.2. </w:t>
      </w:r>
      <w:r w:rsidR="00405D0D" w:rsidRPr="00924659">
        <w:rPr>
          <w:rFonts w:cs="Times New Roman"/>
          <w:spacing w:val="-1"/>
          <w:szCs w:val="24"/>
        </w:rPr>
        <w:t>Geçimsizlikler</w:t>
      </w:r>
    </w:p>
    <w:p w:rsidR="00405D0D" w:rsidRPr="00924659" w:rsidRDefault="00405D0D" w:rsidP="00EB30C8">
      <w:pPr>
        <w:shd w:val="clear" w:color="auto" w:fill="FFFFFF"/>
        <w:spacing w:line="276" w:lineRule="auto"/>
        <w:jc w:val="both"/>
        <w:rPr>
          <w:rFonts w:cs="Times New Roman"/>
          <w:b w:val="0"/>
          <w:spacing w:val="-1"/>
          <w:szCs w:val="24"/>
        </w:rPr>
      </w:pPr>
      <w:r w:rsidRPr="00924659">
        <w:rPr>
          <w:rFonts w:cs="Times New Roman"/>
          <w:b w:val="0"/>
          <w:spacing w:val="-1"/>
          <w:szCs w:val="24"/>
        </w:rPr>
        <w:t>Bulunmamaktadır.</w:t>
      </w:r>
    </w:p>
    <w:p w:rsidR="00405D0D" w:rsidRPr="00924659" w:rsidRDefault="00405D0D" w:rsidP="00EB30C8">
      <w:pPr>
        <w:shd w:val="clear" w:color="auto" w:fill="FFFFFF"/>
        <w:tabs>
          <w:tab w:val="left" w:pos="619"/>
        </w:tabs>
        <w:spacing w:line="276" w:lineRule="auto"/>
        <w:jc w:val="both"/>
        <w:rPr>
          <w:rFonts w:cs="Times New Roman"/>
          <w:spacing w:val="-1"/>
          <w:szCs w:val="24"/>
        </w:rPr>
      </w:pPr>
      <w:r w:rsidRPr="00924659">
        <w:rPr>
          <w:rFonts w:cs="Times New Roman"/>
          <w:spacing w:val="-1"/>
          <w:szCs w:val="24"/>
        </w:rPr>
        <w:t>6.3.</w:t>
      </w:r>
      <w:r w:rsidRPr="00924659">
        <w:rPr>
          <w:rFonts w:cs="Times New Roman"/>
          <w:spacing w:val="-1"/>
          <w:szCs w:val="24"/>
        </w:rPr>
        <w:tab/>
        <w:t>Raf ömrü</w:t>
      </w:r>
    </w:p>
    <w:p w:rsidR="00405D0D" w:rsidRPr="00924659" w:rsidRDefault="00D467CF" w:rsidP="00EB30C8">
      <w:pPr>
        <w:shd w:val="clear" w:color="auto" w:fill="FFFFFF"/>
        <w:spacing w:line="276" w:lineRule="auto"/>
        <w:jc w:val="both"/>
        <w:rPr>
          <w:rFonts w:cs="Times New Roman"/>
          <w:b w:val="0"/>
          <w:spacing w:val="-1"/>
          <w:szCs w:val="24"/>
        </w:rPr>
      </w:pPr>
      <w:r w:rsidRPr="00924659">
        <w:rPr>
          <w:rFonts w:cs="Times New Roman"/>
          <w:b w:val="0"/>
          <w:spacing w:val="-1"/>
          <w:szCs w:val="24"/>
        </w:rPr>
        <w:t>24</w:t>
      </w:r>
      <w:r w:rsidR="00405D0D" w:rsidRPr="00924659">
        <w:rPr>
          <w:rFonts w:cs="Times New Roman"/>
          <w:b w:val="0"/>
          <w:spacing w:val="-1"/>
          <w:szCs w:val="24"/>
        </w:rPr>
        <w:t xml:space="preserve"> ay</w:t>
      </w:r>
    </w:p>
    <w:p w:rsidR="00BD0636" w:rsidRPr="00924659" w:rsidRDefault="00BD0636" w:rsidP="00EB30C8">
      <w:pPr>
        <w:shd w:val="clear" w:color="auto" w:fill="FFFFFF"/>
        <w:spacing w:line="276" w:lineRule="auto"/>
        <w:jc w:val="both"/>
        <w:rPr>
          <w:rFonts w:cs="Times New Roman"/>
          <w:b w:val="0"/>
          <w:spacing w:val="-1"/>
          <w:szCs w:val="24"/>
        </w:rPr>
      </w:pPr>
    </w:p>
    <w:p w:rsidR="00405D0D" w:rsidRPr="00924659" w:rsidRDefault="00405D0D" w:rsidP="00EB30C8">
      <w:pPr>
        <w:shd w:val="clear" w:color="auto" w:fill="FFFFFF"/>
        <w:tabs>
          <w:tab w:val="left" w:pos="619"/>
        </w:tabs>
        <w:spacing w:line="276" w:lineRule="auto"/>
        <w:jc w:val="both"/>
        <w:rPr>
          <w:rFonts w:cs="Times New Roman"/>
          <w:spacing w:val="-1"/>
          <w:szCs w:val="24"/>
        </w:rPr>
      </w:pPr>
      <w:r w:rsidRPr="00924659">
        <w:rPr>
          <w:rFonts w:cs="Times New Roman"/>
          <w:spacing w:val="-1"/>
          <w:szCs w:val="24"/>
        </w:rPr>
        <w:t>6.4.</w:t>
      </w:r>
      <w:r w:rsidRPr="00924659">
        <w:rPr>
          <w:rFonts w:cs="Times New Roman"/>
          <w:spacing w:val="-1"/>
          <w:szCs w:val="24"/>
        </w:rPr>
        <w:tab/>
        <w:t>Saklamaya yönelik özel tedbirler</w:t>
      </w:r>
    </w:p>
    <w:p w:rsidR="00405D0D" w:rsidRPr="00924659" w:rsidRDefault="00D467CF" w:rsidP="00EB30C8">
      <w:pPr>
        <w:shd w:val="clear" w:color="auto" w:fill="FFFFFF"/>
        <w:spacing w:line="276" w:lineRule="auto"/>
        <w:ind w:right="1559"/>
        <w:jc w:val="both"/>
        <w:rPr>
          <w:rFonts w:cs="Times New Roman"/>
          <w:b w:val="0"/>
          <w:spacing w:val="-1"/>
          <w:szCs w:val="24"/>
        </w:rPr>
      </w:pPr>
      <w:r w:rsidRPr="00924659">
        <w:rPr>
          <w:rFonts w:cs="Times New Roman"/>
          <w:b w:val="0"/>
          <w:spacing w:val="-1"/>
          <w:szCs w:val="24"/>
        </w:rPr>
        <w:t>25</w:t>
      </w:r>
      <w:r w:rsidR="00405D0D" w:rsidRPr="00924659">
        <w:rPr>
          <w:rFonts w:cs="Times New Roman"/>
          <w:b w:val="0"/>
          <w:spacing w:val="-1"/>
          <w:szCs w:val="24"/>
        </w:rPr>
        <w:t>°</w:t>
      </w:r>
      <w:proofErr w:type="spellStart"/>
      <w:r w:rsidR="00405D0D" w:rsidRPr="00924659">
        <w:rPr>
          <w:rFonts w:cs="Times New Roman"/>
          <w:b w:val="0"/>
          <w:spacing w:val="-1"/>
          <w:szCs w:val="24"/>
        </w:rPr>
        <w:t>C'nin</w:t>
      </w:r>
      <w:proofErr w:type="spellEnd"/>
      <w:r w:rsidR="00405D0D" w:rsidRPr="00924659">
        <w:rPr>
          <w:rFonts w:cs="Times New Roman"/>
          <w:b w:val="0"/>
          <w:spacing w:val="-1"/>
          <w:szCs w:val="24"/>
        </w:rPr>
        <w:t xml:space="preserve"> altındaki oda sıcaklığında saklayınız. Orijinal ambalajında saklayınız</w:t>
      </w:r>
      <w:r w:rsidR="0094642A" w:rsidRPr="00924659">
        <w:rPr>
          <w:rFonts w:cs="Times New Roman"/>
          <w:b w:val="0"/>
          <w:spacing w:val="-1"/>
          <w:szCs w:val="24"/>
        </w:rPr>
        <w:t>.</w:t>
      </w:r>
    </w:p>
    <w:p w:rsidR="00BD0636" w:rsidRPr="00924659" w:rsidRDefault="00BD0636" w:rsidP="00EB30C8">
      <w:pPr>
        <w:shd w:val="clear" w:color="auto" w:fill="FFFFFF"/>
        <w:spacing w:line="276" w:lineRule="auto"/>
        <w:ind w:right="1559"/>
        <w:jc w:val="both"/>
        <w:rPr>
          <w:rFonts w:cs="Times New Roman"/>
          <w:b w:val="0"/>
          <w:spacing w:val="-1"/>
          <w:szCs w:val="24"/>
        </w:rPr>
      </w:pPr>
    </w:p>
    <w:p w:rsidR="00405D0D" w:rsidRPr="00924659" w:rsidRDefault="00405D0D" w:rsidP="00EB30C8">
      <w:pPr>
        <w:shd w:val="clear" w:color="auto" w:fill="FFFFFF"/>
        <w:tabs>
          <w:tab w:val="left" w:pos="619"/>
        </w:tabs>
        <w:spacing w:line="276" w:lineRule="auto"/>
        <w:jc w:val="both"/>
        <w:rPr>
          <w:rFonts w:cs="Times New Roman"/>
          <w:spacing w:val="-1"/>
          <w:szCs w:val="24"/>
        </w:rPr>
      </w:pPr>
      <w:r w:rsidRPr="00924659">
        <w:rPr>
          <w:rFonts w:cs="Times New Roman"/>
          <w:spacing w:val="-1"/>
          <w:szCs w:val="24"/>
        </w:rPr>
        <w:t>6.5.</w:t>
      </w:r>
      <w:r w:rsidRPr="00924659">
        <w:rPr>
          <w:rFonts w:cs="Times New Roman"/>
          <w:spacing w:val="-1"/>
          <w:szCs w:val="24"/>
        </w:rPr>
        <w:tab/>
        <w:t>Ambalajın niteliği ve içeriği</w:t>
      </w:r>
    </w:p>
    <w:p w:rsidR="00D467CF" w:rsidRPr="00924659" w:rsidRDefault="003D10D8" w:rsidP="00EB30C8">
      <w:pPr>
        <w:widowControl/>
        <w:autoSpaceDE/>
        <w:autoSpaceDN/>
        <w:adjustRightInd/>
        <w:spacing w:line="276" w:lineRule="auto"/>
        <w:jc w:val="both"/>
        <w:rPr>
          <w:rFonts w:cs="Times New Roman"/>
          <w:b w:val="0"/>
          <w:szCs w:val="24"/>
          <w:lang w:eastAsia="en-US"/>
        </w:rPr>
      </w:pPr>
      <w:r w:rsidRPr="00924659">
        <w:rPr>
          <w:rFonts w:cs="Times New Roman"/>
          <w:b w:val="0"/>
          <w:szCs w:val="24"/>
          <w:lang w:eastAsia="en-US"/>
        </w:rPr>
        <w:t>İNGLEX</w:t>
      </w:r>
      <w:r w:rsidR="00D467CF" w:rsidRPr="00924659">
        <w:rPr>
          <w:rFonts w:cs="Times New Roman"/>
          <w:b w:val="0"/>
          <w:szCs w:val="24"/>
          <w:lang w:eastAsia="en-US"/>
        </w:rPr>
        <w:t xml:space="preserve"> 120 mg Film Tablet ürünümüzün </w:t>
      </w:r>
      <w:proofErr w:type="spellStart"/>
      <w:r w:rsidR="00D467CF" w:rsidRPr="00924659">
        <w:rPr>
          <w:rFonts w:cs="Times New Roman"/>
          <w:b w:val="0"/>
          <w:szCs w:val="24"/>
          <w:lang w:eastAsia="en-US"/>
        </w:rPr>
        <w:t>primer</w:t>
      </w:r>
      <w:proofErr w:type="spellEnd"/>
      <w:r w:rsidR="00D467CF" w:rsidRPr="00924659">
        <w:rPr>
          <w:rFonts w:cs="Times New Roman"/>
          <w:b w:val="0"/>
          <w:szCs w:val="24"/>
          <w:lang w:eastAsia="en-US"/>
        </w:rPr>
        <w:t xml:space="preserve"> ambalaj malzemesi olarak </w:t>
      </w:r>
      <w:r w:rsidR="003E6E4D" w:rsidRPr="00924659">
        <w:rPr>
          <w:rFonts w:cs="Times New Roman"/>
          <w:b w:val="0"/>
          <w:szCs w:val="24"/>
          <w:lang w:eastAsia="en-US"/>
        </w:rPr>
        <w:t xml:space="preserve">bir yüzü şeffaf PVC-PE/PVDC,  diğer yüzü </w:t>
      </w:r>
      <w:proofErr w:type="spellStart"/>
      <w:r w:rsidR="003E6E4D" w:rsidRPr="00924659">
        <w:rPr>
          <w:rFonts w:cs="Times New Roman"/>
          <w:b w:val="0"/>
          <w:szCs w:val="24"/>
          <w:lang w:eastAsia="en-US"/>
        </w:rPr>
        <w:t>aluminyum</w:t>
      </w:r>
      <w:proofErr w:type="spellEnd"/>
      <w:r w:rsidR="003E6E4D" w:rsidRPr="00924659">
        <w:rPr>
          <w:rFonts w:cs="Times New Roman"/>
          <w:b w:val="0"/>
          <w:szCs w:val="24"/>
          <w:lang w:eastAsia="en-US"/>
        </w:rPr>
        <w:t xml:space="preserve"> folyo </w:t>
      </w:r>
      <w:r w:rsidR="00D467CF" w:rsidRPr="00924659">
        <w:rPr>
          <w:rFonts w:cs="Times New Roman"/>
          <w:b w:val="0"/>
          <w:szCs w:val="24"/>
          <w:lang w:eastAsia="en-US"/>
        </w:rPr>
        <w:t>ambalaj materyali kullanılmıştır.</w:t>
      </w:r>
    </w:p>
    <w:p w:rsidR="00BD0636" w:rsidRPr="00924659" w:rsidRDefault="00BD0636" w:rsidP="00EB30C8">
      <w:pPr>
        <w:shd w:val="clear" w:color="auto" w:fill="FFFFFF"/>
        <w:spacing w:line="276" w:lineRule="auto"/>
        <w:ind w:right="2410"/>
        <w:jc w:val="both"/>
        <w:rPr>
          <w:rFonts w:cs="Times New Roman"/>
          <w:b w:val="0"/>
          <w:spacing w:val="-1"/>
          <w:szCs w:val="24"/>
        </w:rPr>
      </w:pPr>
    </w:p>
    <w:p w:rsidR="00405D0D" w:rsidRPr="00924659" w:rsidRDefault="00405D0D" w:rsidP="00EB30C8">
      <w:pPr>
        <w:shd w:val="clear" w:color="auto" w:fill="FFFFFF"/>
        <w:tabs>
          <w:tab w:val="left" w:pos="619"/>
        </w:tabs>
        <w:spacing w:line="276" w:lineRule="auto"/>
        <w:jc w:val="both"/>
        <w:rPr>
          <w:rFonts w:cs="Times New Roman"/>
          <w:b w:val="0"/>
          <w:spacing w:val="-1"/>
          <w:szCs w:val="24"/>
        </w:rPr>
      </w:pPr>
      <w:r w:rsidRPr="00924659">
        <w:rPr>
          <w:rFonts w:cs="Times New Roman"/>
          <w:spacing w:val="-1"/>
          <w:szCs w:val="24"/>
        </w:rPr>
        <w:t>6.6.</w:t>
      </w:r>
      <w:r w:rsidRPr="00924659">
        <w:rPr>
          <w:rFonts w:cs="Times New Roman"/>
          <w:spacing w:val="-1"/>
          <w:szCs w:val="24"/>
        </w:rPr>
        <w:tab/>
        <w:t>Beşeri tıbbi</w:t>
      </w:r>
      <w:r w:rsidRPr="00924659">
        <w:rPr>
          <w:rFonts w:cs="Times New Roman"/>
          <w:b w:val="0"/>
          <w:spacing w:val="-1"/>
          <w:szCs w:val="24"/>
        </w:rPr>
        <w:t xml:space="preserve"> </w:t>
      </w:r>
      <w:r w:rsidRPr="00924659">
        <w:rPr>
          <w:rFonts w:cs="Times New Roman"/>
          <w:spacing w:val="-1"/>
          <w:szCs w:val="24"/>
        </w:rPr>
        <w:t>üründen arta kalan maddelerin imhası ve diğer özel önlemler</w:t>
      </w:r>
    </w:p>
    <w:p w:rsidR="00405D0D" w:rsidRPr="00924659" w:rsidRDefault="00405D0D" w:rsidP="00EB30C8">
      <w:pPr>
        <w:shd w:val="clear" w:color="auto" w:fill="FFFFFF"/>
        <w:spacing w:line="276" w:lineRule="auto"/>
        <w:jc w:val="both"/>
        <w:rPr>
          <w:rFonts w:cs="Times New Roman"/>
          <w:b w:val="0"/>
          <w:spacing w:val="-1"/>
          <w:szCs w:val="24"/>
        </w:rPr>
      </w:pPr>
      <w:r w:rsidRPr="00924659">
        <w:rPr>
          <w:rFonts w:cs="Times New Roman"/>
          <w:b w:val="0"/>
          <w:spacing w:val="-1"/>
          <w:szCs w:val="24"/>
        </w:rPr>
        <w:t>Kullanılmamış olan ürünler ya da</w:t>
      </w:r>
      <w:r w:rsidR="00F2001A" w:rsidRPr="00924659">
        <w:rPr>
          <w:rFonts w:cs="Times New Roman"/>
          <w:b w:val="0"/>
          <w:spacing w:val="-1"/>
          <w:szCs w:val="24"/>
        </w:rPr>
        <w:t xml:space="preserve"> atık materyaller "Tıbbi Atıkları</w:t>
      </w:r>
      <w:r w:rsidRPr="00924659">
        <w:rPr>
          <w:rFonts w:cs="Times New Roman"/>
          <w:b w:val="0"/>
          <w:spacing w:val="-1"/>
          <w:szCs w:val="24"/>
        </w:rPr>
        <w:t>n Kontrolü Yönetmeliği"</w:t>
      </w:r>
      <w:r w:rsidR="00F2001A" w:rsidRPr="00924659">
        <w:rPr>
          <w:rFonts w:cs="Times New Roman"/>
          <w:b w:val="0"/>
          <w:spacing w:val="-1"/>
          <w:szCs w:val="24"/>
        </w:rPr>
        <w:t xml:space="preserve"> ve "Ambalaj ve Ambalaj Atıklarını</w:t>
      </w:r>
      <w:r w:rsidRPr="00924659">
        <w:rPr>
          <w:rFonts w:cs="Times New Roman"/>
          <w:b w:val="0"/>
          <w:spacing w:val="-1"/>
          <w:szCs w:val="24"/>
        </w:rPr>
        <w:t>n Kontrolü Yönetmeliği"ne uygun olarak imha edilmelidir.</w:t>
      </w:r>
    </w:p>
    <w:p w:rsidR="0099633B" w:rsidRPr="00924659" w:rsidRDefault="0099633B" w:rsidP="00EB30C8">
      <w:pPr>
        <w:shd w:val="clear" w:color="auto" w:fill="FFFFFF"/>
        <w:tabs>
          <w:tab w:val="left" w:pos="605"/>
        </w:tabs>
        <w:spacing w:line="276" w:lineRule="auto"/>
        <w:jc w:val="both"/>
        <w:rPr>
          <w:rFonts w:cs="Times New Roman"/>
          <w:spacing w:val="-1"/>
          <w:szCs w:val="24"/>
        </w:rPr>
      </w:pPr>
    </w:p>
    <w:p w:rsidR="00405D0D" w:rsidRPr="00924659" w:rsidRDefault="00BD0636" w:rsidP="00EB30C8">
      <w:pPr>
        <w:shd w:val="clear" w:color="auto" w:fill="FFFFFF"/>
        <w:tabs>
          <w:tab w:val="left" w:pos="605"/>
        </w:tabs>
        <w:spacing w:line="276" w:lineRule="auto"/>
        <w:jc w:val="both"/>
        <w:rPr>
          <w:rFonts w:cs="Times New Roman"/>
          <w:spacing w:val="-1"/>
          <w:szCs w:val="24"/>
        </w:rPr>
      </w:pPr>
      <w:r w:rsidRPr="00924659">
        <w:rPr>
          <w:rFonts w:cs="Times New Roman"/>
          <w:spacing w:val="-1"/>
          <w:szCs w:val="24"/>
        </w:rPr>
        <w:t xml:space="preserve">7. </w:t>
      </w:r>
      <w:r w:rsidR="00405D0D" w:rsidRPr="00924659">
        <w:rPr>
          <w:rFonts w:cs="Times New Roman"/>
          <w:spacing w:val="-1"/>
          <w:szCs w:val="24"/>
        </w:rPr>
        <w:t>RUHSAT SAHİBİ</w:t>
      </w:r>
    </w:p>
    <w:p w:rsidR="0044587F" w:rsidRPr="00924659" w:rsidRDefault="0044587F" w:rsidP="00EB30C8">
      <w:pPr>
        <w:keepNext/>
        <w:widowControl/>
        <w:autoSpaceDE/>
        <w:autoSpaceDN/>
        <w:adjustRightInd/>
        <w:spacing w:line="276" w:lineRule="auto"/>
        <w:jc w:val="both"/>
        <w:outlineLvl w:val="1"/>
        <w:rPr>
          <w:rFonts w:eastAsia="MS Mincho" w:cs="Times New Roman"/>
          <w:b w:val="0"/>
          <w:szCs w:val="24"/>
          <w:lang w:eastAsia="ja-JP"/>
        </w:rPr>
      </w:pPr>
      <w:r w:rsidRPr="00924659">
        <w:rPr>
          <w:rFonts w:eastAsia="MS Mincho" w:cs="Times New Roman"/>
          <w:b w:val="0"/>
          <w:szCs w:val="24"/>
          <w:lang w:eastAsia="ja-JP"/>
        </w:rPr>
        <w:t>Deva Holding A.Ş.</w:t>
      </w:r>
    </w:p>
    <w:p w:rsidR="0044587F" w:rsidRPr="00924659" w:rsidRDefault="0044587F" w:rsidP="00EB30C8">
      <w:pPr>
        <w:widowControl/>
        <w:autoSpaceDE/>
        <w:autoSpaceDN/>
        <w:adjustRightInd/>
        <w:spacing w:line="276" w:lineRule="auto"/>
        <w:jc w:val="both"/>
        <w:rPr>
          <w:rFonts w:eastAsia="MS Mincho" w:cs="Times New Roman"/>
          <w:b w:val="0"/>
          <w:szCs w:val="24"/>
          <w:lang w:eastAsia="ja-JP"/>
        </w:rPr>
      </w:pPr>
      <w:r w:rsidRPr="00924659">
        <w:rPr>
          <w:rFonts w:eastAsia="MS Mincho" w:cs="Times New Roman"/>
          <w:b w:val="0"/>
          <w:szCs w:val="24"/>
          <w:lang w:eastAsia="ja-JP"/>
        </w:rPr>
        <w:t>Halkalı Merkez Mah. Basın Ekspres Cad.</w:t>
      </w:r>
    </w:p>
    <w:p w:rsidR="0044587F" w:rsidRPr="00924659" w:rsidRDefault="0044587F" w:rsidP="00EB30C8">
      <w:pPr>
        <w:widowControl/>
        <w:autoSpaceDE/>
        <w:autoSpaceDN/>
        <w:adjustRightInd/>
        <w:spacing w:line="276" w:lineRule="auto"/>
        <w:jc w:val="both"/>
        <w:rPr>
          <w:rFonts w:eastAsia="MS Mincho" w:cs="Times New Roman"/>
          <w:b w:val="0"/>
          <w:szCs w:val="24"/>
          <w:lang w:eastAsia="ja-JP"/>
        </w:rPr>
      </w:pPr>
      <w:r w:rsidRPr="00924659">
        <w:rPr>
          <w:rFonts w:eastAsia="MS Mincho" w:cs="Times New Roman"/>
          <w:b w:val="0"/>
          <w:szCs w:val="24"/>
          <w:lang w:eastAsia="ja-JP"/>
        </w:rPr>
        <w:t>No:1  34303 Küçükçekmece/İstanbul</w:t>
      </w:r>
    </w:p>
    <w:p w:rsidR="0044587F" w:rsidRPr="00924659" w:rsidRDefault="0044587F" w:rsidP="00EB30C8">
      <w:pPr>
        <w:widowControl/>
        <w:autoSpaceDE/>
        <w:autoSpaceDN/>
        <w:adjustRightInd/>
        <w:spacing w:line="276" w:lineRule="auto"/>
        <w:jc w:val="both"/>
        <w:rPr>
          <w:rFonts w:eastAsia="MS Mincho" w:cs="Times New Roman"/>
          <w:b w:val="0"/>
          <w:szCs w:val="24"/>
          <w:lang w:eastAsia="ja-JP"/>
        </w:rPr>
      </w:pPr>
      <w:r w:rsidRPr="00924659">
        <w:rPr>
          <w:rFonts w:eastAsia="MS Mincho" w:cs="Times New Roman"/>
          <w:b w:val="0"/>
          <w:szCs w:val="24"/>
          <w:lang w:eastAsia="ja-JP"/>
        </w:rPr>
        <w:t xml:space="preserve">Tel:  0212 692 92 </w:t>
      </w:r>
      <w:proofErr w:type="spellStart"/>
      <w:r w:rsidRPr="00924659">
        <w:rPr>
          <w:rFonts w:eastAsia="MS Mincho" w:cs="Times New Roman"/>
          <w:b w:val="0"/>
          <w:szCs w:val="24"/>
          <w:lang w:eastAsia="ja-JP"/>
        </w:rPr>
        <w:t>92</w:t>
      </w:r>
      <w:proofErr w:type="spellEnd"/>
    </w:p>
    <w:p w:rsidR="0044587F" w:rsidRPr="00924659" w:rsidRDefault="0044587F" w:rsidP="00EB30C8">
      <w:pPr>
        <w:widowControl/>
        <w:autoSpaceDE/>
        <w:autoSpaceDN/>
        <w:adjustRightInd/>
        <w:spacing w:line="276" w:lineRule="auto"/>
        <w:jc w:val="both"/>
        <w:rPr>
          <w:rFonts w:eastAsia="MS Mincho" w:cs="Times New Roman"/>
          <w:b w:val="0"/>
          <w:szCs w:val="24"/>
          <w:lang w:eastAsia="ja-JP"/>
        </w:rPr>
      </w:pPr>
      <w:proofErr w:type="spellStart"/>
      <w:r w:rsidRPr="00924659">
        <w:rPr>
          <w:rFonts w:eastAsia="MS Mincho" w:cs="Times New Roman"/>
          <w:b w:val="0"/>
          <w:szCs w:val="24"/>
          <w:lang w:eastAsia="ja-JP"/>
        </w:rPr>
        <w:t>Fax</w:t>
      </w:r>
      <w:proofErr w:type="spellEnd"/>
      <w:r w:rsidRPr="00924659">
        <w:rPr>
          <w:rFonts w:eastAsia="MS Mincho" w:cs="Times New Roman"/>
          <w:b w:val="0"/>
          <w:szCs w:val="24"/>
          <w:lang w:eastAsia="ja-JP"/>
        </w:rPr>
        <w:t>: 0212 697 00 24</w:t>
      </w:r>
    </w:p>
    <w:p w:rsidR="0044587F" w:rsidRPr="00924659" w:rsidRDefault="0044587F" w:rsidP="00EB30C8">
      <w:pPr>
        <w:widowControl/>
        <w:autoSpaceDE/>
        <w:autoSpaceDN/>
        <w:adjustRightInd/>
        <w:spacing w:line="276" w:lineRule="auto"/>
        <w:jc w:val="both"/>
        <w:rPr>
          <w:rFonts w:eastAsia="MS Mincho" w:cs="Times New Roman"/>
          <w:b w:val="0"/>
          <w:szCs w:val="24"/>
          <w:lang w:eastAsia="ja-JP"/>
        </w:rPr>
      </w:pPr>
      <w:r w:rsidRPr="00924659">
        <w:rPr>
          <w:rFonts w:eastAsia="MS Mincho" w:cs="Times New Roman"/>
          <w:b w:val="0"/>
          <w:szCs w:val="24"/>
          <w:lang w:eastAsia="ja-JP"/>
        </w:rPr>
        <w:t>E-mail: deva@</w:t>
      </w:r>
      <w:proofErr w:type="spellStart"/>
      <w:r w:rsidRPr="00924659">
        <w:rPr>
          <w:rFonts w:eastAsia="MS Mincho" w:cs="Times New Roman"/>
          <w:b w:val="0"/>
          <w:szCs w:val="24"/>
          <w:lang w:eastAsia="ja-JP"/>
        </w:rPr>
        <w:t>devaholding</w:t>
      </w:r>
      <w:proofErr w:type="spellEnd"/>
      <w:r w:rsidRPr="00924659">
        <w:rPr>
          <w:rFonts w:eastAsia="MS Mincho" w:cs="Times New Roman"/>
          <w:b w:val="0"/>
          <w:szCs w:val="24"/>
          <w:lang w:eastAsia="ja-JP"/>
        </w:rPr>
        <w:t xml:space="preserve">.com.tr  </w:t>
      </w:r>
    </w:p>
    <w:p w:rsidR="0044587F" w:rsidRPr="00924659" w:rsidRDefault="0044587F" w:rsidP="00EB30C8">
      <w:pPr>
        <w:widowControl/>
        <w:autoSpaceDE/>
        <w:autoSpaceDN/>
        <w:adjustRightInd/>
        <w:spacing w:line="276" w:lineRule="auto"/>
        <w:jc w:val="both"/>
        <w:rPr>
          <w:rFonts w:eastAsia="MS Mincho" w:cs="Times New Roman"/>
          <w:b w:val="0"/>
          <w:szCs w:val="24"/>
          <w:lang w:eastAsia="ja-JP"/>
        </w:rPr>
      </w:pPr>
    </w:p>
    <w:p w:rsidR="00405D0D" w:rsidRPr="00924659" w:rsidRDefault="00BD0636" w:rsidP="00EB30C8">
      <w:pPr>
        <w:shd w:val="clear" w:color="auto" w:fill="FFFFFF"/>
        <w:tabs>
          <w:tab w:val="left" w:pos="605"/>
        </w:tabs>
        <w:spacing w:line="276" w:lineRule="auto"/>
        <w:jc w:val="both"/>
        <w:rPr>
          <w:rFonts w:cs="Times New Roman"/>
          <w:spacing w:val="-1"/>
          <w:szCs w:val="24"/>
        </w:rPr>
      </w:pPr>
      <w:r w:rsidRPr="00924659">
        <w:rPr>
          <w:rFonts w:cs="Times New Roman"/>
          <w:spacing w:val="-1"/>
          <w:szCs w:val="24"/>
        </w:rPr>
        <w:t xml:space="preserve">8. </w:t>
      </w:r>
      <w:r w:rsidR="00405D0D" w:rsidRPr="00924659">
        <w:rPr>
          <w:rFonts w:cs="Times New Roman"/>
          <w:spacing w:val="-1"/>
          <w:szCs w:val="24"/>
        </w:rPr>
        <w:t>RUHSAT NUMARASI</w:t>
      </w:r>
    </w:p>
    <w:p w:rsidR="00BD0636" w:rsidRPr="00924659" w:rsidRDefault="0096617F" w:rsidP="00EB30C8">
      <w:pPr>
        <w:tabs>
          <w:tab w:val="left" w:pos="605"/>
        </w:tabs>
        <w:spacing w:line="276" w:lineRule="auto"/>
        <w:jc w:val="both"/>
        <w:rPr>
          <w:rFonts w:cs="Times New Roman"/>
          <w:b w:val="0"/>
          <w:spacing w:val="-1"/>
          <w:szCs w:val="24"/>
        </w:rPr>
      </w:pPr>
      <w:r w:rsidRPr="00924659">
        <w:rPr>
          <w:rFonts w:cs="Times New Roman"/>
          <w:b w:val="0"/>
          <w:spacing w:val="-1"/>
          <w:szCs w:val="24"/>
        </w:rPr>
        <w:t>239/41</w:t>
      </w:r>
    </w:p>
    <w:p w:rsidR="0096617F" w:rsidRPr="00924659" w:rsidRDefault="0096617F" w:rsidP="00EB30C8">
      <w:pPr>
        <w:shd w:val="clear" w:color="auto" w:fill="FFFFFF"/>
        <w:tabs>
          <w:tab w:val="left" w:pos="605"/>
        </w:tabs>
        <w:spacing w:line="276" w:lineRule="auto"/>
        <w:jc w:val="both"/>
        <w:rPr>
          <w:rFonts w:cs="Times New Roman"/>
          <w:spacing w:val="-1"/>
          <w:szCs w:val="24"/>
          <w:highlight w:val="yellow"/>
        </w:rPr>
      </w:pPr>
    </w:p>
    <w:p w:rsidR="00405D0D" w:rsidRPr="00924659" w:rsidRDefault="00BD0636" w:rsidP="00EB30C8">
      <w:pPr>
        <w:shd w:val="clear" w:color="auto" w:fill="FFFFFF"/>
        <w:tabs>
          <w:tab w:val="left" w:pos="605"/>
        </w:tabs>
        <w:spacing w:line="276" w:lineRule="auto"/>
        <w:jc w:val="both"/>
        <w:rPr>
          <w:rFonts w:cs="Times New Roman"/>
          <w:spacing w:val="-1"/>
          <w:szCs w:val="24"/>
        </w:rPr>
      </w:pPr>
      <w:r w:rsidRPr="00924659">
        <w:rPr>
          <w:rFonts w:cs="Times New Roman"/>
          <w:spacing w:val="-1"/>
          <w:szCs w:val="24"/>
        </w:rPr>
        <w:t xml:space="preserve">9. </w:t>
      </w:r>
      <w:r w:rsidR="00405D0D" w:rsidRPr="00924659">
        <w:rPr>
          <w:rFonts w:cs="Times New Roman"/>
          <w:spacing w:val="-1"/>
          <w:szCs w:val="24"/>
        </w:rPr>
        <w:t>İLK RUHSAT TARİHİ / RUHSAT YENİLEME TARİHİ</w:t>
      </w:r>
    </w:p>
    <w:p w:rsidR="006072CA" w:rsidRPr="00924659" w:rsidRDefault="0096617F" w:rsidP="00EB30C8">
      <w:pPr>
        <w:shd w:val="clear" w:color="auto" w:fill="FFFFFF"/>
        <w:spacing w:line="276" w:lineRule="auto"/>
        <w:ind w:right="5242"/>
        <w:jc w:val="both"/>
        <w:rPr>
          <w:rFonts w:cs="Times New Roman"/>
          <w:b w:val="0"/>
          <w:spacing w:val="-1"/>
          <w:szCs w:val="24"/>
        </w:rPr>
      </w:pPr>
      <w:r w:rsidRPr="00924659">
        <w:rPr>
          <w:rFonts w:cs="Times New Roman"/>
          <w:b w:val="0"/>
          <w:spacing w:val="-1"/>
          <w:szCs w:val="24"/>
        </w:rPr>
        <w:t>İlk ruhsat tarihi: 13.01.2012</w:t>
      </w:r>
    </w:p>
    <w:p w:rsidR="00405D0D" w:rsidRPr="00924659" w:rsidRDefault="00405D0D" w:rsidP="00EB30C8">
      <w:pPr>
        <w:shd w:val="clear" w:color="auto" w:fill="FFFFFF"/>
        <w:spacing w:line="276" w:lineRule="auto"/>
        <w:ind w:right="5242"/>
        <w:jc w:val="both"/>
        <w:rPr>
          <w:rFonts w:cs="Times New Roman"/>
          <w:b w:val="0"/>
          <w:spacing w:val="-1"/>
          <w:szCs w:val="24"/>
        </w:rPr>
      </w:pPr>
      <w:r w:rsidRPr="00924659">
        <w:rPr>
          <w:rFonts w:cs="Times New Roman"/>
          <w:b w:val="0"/>
          <w:spacing w:val="-1"/>
          <w:szCs w:val="24"/>
        </w:rPr>
        <w:t>Ruhsat yenileme tarihi:</w:t>
      </w:r>
    </w:p>
    <w:p w:rsidR="00BD0636" w:rsidRPr="00924659" w:rsidRDefault="00BD0636" w:rsidP="00EB30C8">
      <w:pPr>
        <w:shd w:val="clear" w:color="auto" w:fill="FFFFFF"/>
        <w:spacing w:line="276" w:lineRule="auto"/>
        <w:ind w:right="5242"/>
        <w:jc w:val="both"/>
        <w:rPr>
          <w:rFonts w:cs="Times New Roman"/>
          <w:b w:val="0"/>
          <w:spacing w:val="-1"/>
          <w:szCs w:val="24"/>
        </w:rPr>
      </w:pPr>
    </w:p>
    <w:p w:rsidR="00537617" w:rsidRPr="00924659" w:rsidRDefault="00405D0D" w:rsidP="00EB30C8">
      <w:pPr>
        <w:shd w:val="clear" w:color="auto" w:fill="FFFFFF"/>
        <w:tabs>
          <w:tab w:val="left" w:pos="605"/>
        </w:tabs>
        <w:spacing w:line="276" w:lineRule="auto"/>
        <w:jc w:val="both"/>
        <w:rPr>
          <w:rFonts w:cs="Times New Roman"/>
          <w:spacing w:val="-1"/>
          <w:szCs w:val="24"/>
        </w:rPr>
      </w:pPr>
      <w:r w:rsidRPr="00924659">
        <w:rPr>
          <w:rFonts w:cs="Times New Roman"/>
          <w:spacing w:val="-1"/>
          <w:szCs w:val="24"/>
        </w:rPr>
        <w:t>10.</w:t>
      </w:r>
      <w:r w:rsidRPr="00924659">
        <w:rPr>
          <w:rFonts w:cs="Times New Roman"/>
          <w:spacing w:val="-1"/>
          <w:szCs w:val="24"/>
        </w:rPr>
        <w:tab/>
        <w:t>KÜB 'ÜN YENİLENME TARİHİ</w:t>
      </w:r>
    </w:p>
    <w:p w:rsidR="00B77559" w:rsidRPr="00924659" w:rsidRDefault="00B77559" w:rsidP="00EB30C8">
      <w:pPr>
        <w:shd w:val="clear" w:color="auto" w:fill="FFFFFF"/>
        <w:tabs>
          <w:tab w:val="left" w:pos="605"/>
        </w:tabs>
        <w:spacing w:line="276" w:lineRule="auto"/>
        <w:jc w:val="both"/>
        <w:rPr>
          <w:rFonts w:cs="Times New Roman"/>
          <w:b w:val="0"/>
          <w:bCs/>
          <w:szCs w:val="24"/>
        </w:rPr>
      </w:pPr>
    </w:p>
    <w:p w:rsidR="00537617" w:rsidRPr="00924659" w:rsidRDefault="00537617" w:rsidP="00EB30C8">
      <w:pPr>
        <w:shd w:val="clear" w:color="auto" w:fill="FFFFFF"/>
        <w:spacing w:line="276" w:lineRule="auto"/>
        <w:ind w:right="168"/>
        <w:jc w:val="both"/>
        <w:rPr>
          <w:rFonts w:cs="Times New Roman"/>
          <w:b w:val="0"/>
          <w:bCs/>
          <w:szCs w:val="24"/>
        </w:rPr>
      </w:pPr>
    </w:p>
    <w:p w:rsidR="00537617" w:rsidRPr="00924659" w:rsidRDefault="00537617" w:rsidP="00EB30C8">
      <w:pPr>
        <w:shd w:val="clear" w:color="auto" w:fill="FFFFFF"/>
        <w:spacing w:line="276" w:lineRule="auto"/>
        <w:ind w:right="168"/>
        <w:jc w:val="both"/>
        <w:rPr>
          <w:rFonts w:cs="Times New Roman"/>
          <w:b w:val="0"/>
          <w:bCs/>
          <w:szCs w:val="24"/>
        </w:rPr>
      </w:pPr>
    </w:p>
    <w:p w:rsidR="00537617" w:rsidRPr="00924659" w:rsidRDefault="00537617" w:rsidP="00EB30C8">
      <w:pPr>
        <w:shd w:val="clear" w:color="auto" w:fill="FFFFFF"/>
        <w:spacing w:line="276" w:lineRule="auto"/>
        <w:ind w:right="168"/>
        <w:jc w:val="both"/>
        <w:rPr>
          <w:rFonts w:cs="Times New Roman"/>
          <w:b w:val="0"/>
          <w:bCs/>
          <w:szCs w:val="24"/>
        </w:rPr>
      </w:pPr>
    </w:p>
    <w:p w:rsidR="00537617" w:rsidRPr="00924659" w:rsidRDefault="00537617" w:rsidP="00EB30C8">
      <w:pPr>
        <w:shd w:val="clear" w:color="auto" w:fill="FFFFFF"/>
        <w:spacing w:line="276" w:lineRule="auto"/>
        <w:ind w:right="168"/>
        <w:jc w:val="both"/>
        <w:rPr>
          <w:rFonts w:cs="Times New Roman"/>
          <w:b w:val="0"/>
          <w:bCs/>
          <w:szCs w:val="24"/>
        </w:rPr>
      </w:pPr>
    </w:p>
    <w:sectPr w:rsidR="00537617" w:rsidRPr="00924659" w:rsidSect="00B77559">
      <w:type w:val="continuous"/>
      <w:pgSz w:w="11909" w:h="16834"/>
      <w:pgMar w:top="1440" w:right="1277" w:bottom="720" w:left="127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9B" w:rsidRDefault="003A629B" w:rsidP="006D75FC">
      <w:r>
        <w:separator/>
      </w:r>
    </w:p>
  </w:endnote>
  <w:endnote w:type="continuationSeparator" w:id="0">
    <w:p w:rsidR="003A629B" w:rsidRDefault="003A629B" w:rsidP="006D7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9B" w:rsidRDefault="00C91591">
    <w:pPr>
      <w:pStyle w:val="Altbilgi"/>
      <w:jc w:val="right"/>
    </w:pPr>
    <w:fldSimple w:instr=" PAGE   \* MERGEFORMAT ">
      <w:r w:rsidR="00924659">
        <w:rPr>
          <w:noProof/>
        </w:rPr>
        <w:t>1</w:t>
      </w:r>
    </w:fldSimple>
  </w:p>
  <w:p w:rsidR="003A629B" w:rsidRDefault="003A62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9B" w:rsidRDefault="003A629B" w:rsidP="006D75FC">
      <w:r>
        <w:separator/>
      </w:r>
    </w:p>
  </w:footnote>
  <w:footnote w:type="continuationSeparator" w:id="0">
    <w:p w:rsidR="003A629B" w:rsidRDefault="003A629B" w:rsidP="006D7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3C174A"/>
    <w:lvl w:ilvl="0">
      <w:numFmt w:val="bullet"/>
      <w:lvlText w:val="*"/>
      <w:lvlJc w:val="left"/>
    </w:lvl>
  </w:abstractNum>
  <w:abstractNum w:abstractNumId="1">
    <w:nsid w:val="177F0AE3"/>
    <w:multiLevelType w:val="hybridMultilevel"/>
    <w:tmpl w:val="C80288D4"/>
    <w:lvl w:ilvl="0" w:tplc="041F0001">
      <w:start w:val="1"/>
      <w:numFmt w:val="bullet"/>
      <w:lvlText w:val=""/>
      <w:lvlJc w:val="left"/>
      <w:pPr>
        <w:ind w:left="739" w:hanging="360"/>
      </w:pPr>
      <w:rPr>
        <w:rFonts w:ascii="Symbol" w:hAnsi="Symbol" w:hint="default"/>
      </w:rPr>
    </w:lvl>
    <w:lvl w:ilvl="1" w:tplc="041F0003" w:tentative="1">
      <w:start w:val="1"/>
      <w:numFmt w:val="bullet"/>
      <w:lvlText w:val="o"/>
      <w:lvlJc w:val="left"/>
      <w:pPr>
        <w:ind w:left="1459" w:hanging="360"/>
      </w:pPr>
      <w:rPr>
        <w:rFonts w:ascii="Courier New" w:hAnsi="Courier New" w:cs="Courier New" w:hint="default"/>
      </w:rPr>
    </w:lvl>
    <w:lvl w:ilvl="2" w:tplc="041F0005" w:tentative="1">
      <w:start w:val="1"/>
      <w:numFmt w:val="bullet"/>
      <w:lvlText w:val=""/>
      <w:lvlJc w:val="left"/>
      <w:pPr>
        <w:ind w:left="2179" w:hanging="360"/>
      </w:pPr>
      <w:rPr>
        <w:rFonts w:ascii="Wingdings" w:hAnsi="Wingdings" w:hint="default"/>
      </w:rPr>
    </w:lvl>
    <w:lvl w:ilvl="3" w:tplc="041F0001" w:tentative="1">
      <w:start w:val="1"/>
      <w:numFmt w:val="bullet"/>
      <w:lvlText w:val=""/>
      <w:lvlJc w:val="left"/>
      <w:pPr>
        <w:ind w:left="2899" w:hanging="360"/>
      </w:pPr>
      <w:rPr>
        <w:rFonts w:ascii="Symbol" w:hAnsi="Symbol" w:hint="default"/>
      </w:rPr>
    </w:lvl>
    <w:lvl w:ilvl="4" w:tplc="041F0003" w:tentative="1">
      <w:start w:val="1"/>
      <w:numFmt w:val="bullet"/>
      <w:lvlText w:val="o"/>
      <w:lvlJc w:val="left"/>
      <w:pPr>
        <w:ind w:left="3619" w:hanging="360"/>
      </w:pPr>
      <w:rPr>
        <w:rFonts w:ascii="Courier New" w:hAnsi="Courier New" w:cs="Courier New" w:hint="default"/>
      </w:rPr>
    </w:lvl>
    <w:lvl w:ilvl="5" w:tplc="041F0005" w:tentative="1">
      <w:start w:val="1"/>
      <w:numFmt w:val="bullet"/>
      <w:lvlText w:val=""/>
      <w:lvlJc w:val="left"/>
      <w:pPr>
        <w:ind w:left="4339" w:hanging="360"/>
      </w:pPr>
      <w:rPr>
        <w:rFonts w:ascii="Wingdings" w:hAnsi="Wingdings" w:hint="default"/>
      </w:rPr>
    </w:lvl>
    <w:lvl w:ilvl="6" w:tplc="041F0001" w:tentative="1">
      <w:start w:val="1"/>
      <w:numFmt w:val="bullet"/>
      <w:lvlText w:val=""/>
      <w:lvlJc w:val="left"/>
      <w:pPr>
        <w:ind w:left="5059" w:hanging="360"/>
      </w:pPr>
      <w:rPr>
        <w:rFonts w:ascii="Symbol" w:hAnsi="Symbol" w:hint="default"/>
      </w:rPr>
    </w:lvl>
    <w:lvl w:ilvl="7" w:tplc="041F0003" w:tentative="1">
      <w:start w:val="1"/>
      <w:numFmt w:val="bullet"/>
      <w:lvlText w:val="o"/>
      <w:lvlJc w:val="left"/>
      <w:pPr>
        <w:ind w:left="5779" w:hanging="360"/>
      </w:pPr>
      <w:rPr>
        <w:rFonts w:ascii="Courier New" w:hAnsi="Courier New" w:cs="Courier New" w:hint="default"/>
      </w:rPr>
    </w:lvl>
    <w:lvl w:ilvl="8" w:tplc="041F0005" w:tentative="1">
      <w:start w:val="1"/>
      <w:numFmt w:val="bullet"/>
      <w:lvlText w:val=""/>
      <w:lvlJc w:val="left"/>
      <w:pPr>
        <w:ind w:left="6499" w:hanging="360"/>
      </w:pPr>
      <w:rPr>
        <w:rFonts w:ascii="Wingdings" w:hAnsi="Wingdings" w:hint="default"/>
      </w:rPr>
    </w:lvl>
  </w:abstractNum>
  <w:abstractNum w:abstractNumId="2">
    <w:nsid w:val="622E3F04"/>
    <w:multiLevelType w:val="singleLevel"/>
    <w:tmpl w:val="3A925988"/>
    <w:lvl w:ilvl="0">
      <w:start w:val="1"/>
      <w:numFmt w:val="decimal"/>
      <w:lvlText w:val="%1."/>
      <w:legacy w:legacy="1" w:legacySpace="0" w:legacyIndent="317"/>
      <w:lvlJc w:val="left"/>
      <w:rPr>
        <w:rFonts w:ascii="Times New Roman" w:hAnsi="Times New Roman" w:cs="Times New Roman" w:hint="default"/>
        <w:i/>
      </w:rPr>
    </w:lvl>
  </w:abstractNum>
  <w:num w:numId="1">
    <w:abstractNumId w:val="0"/>
    <w:lvlOverride w:ilvl="0">
      <w:lvl w:ilvl="0">
        <w:numFmt w:val="bullet"/>
        <w:lvlText w:val="-"/>
        <w:legacy w:legacy="1" w:legacySpace="0" w:legacyIndent="279"/>
        <w:lvlJc w:val="left"/>
        <w:rPr>
          <w:rFonts w:ascii="Verdana" w:hAnsi="Verdana" w:hint="default"/>
        </w:rPr>
      </w:lvl>
    </w:lvlOverride>
  </w:num>
  <w:num w:numId="2">
    <w:abstractNumId w:val="0"/>
    <w:lvlOverride w:ilvl="0">
      <w:lvl w:ilvl="0">
        <w:numFmt w:val="bullet"/>
        <w:lvlText w:val="•"/>
        <w:legacy w:legacy="1" w:legacySpace="0" w:legacyIndent="298"/>
        <w:lvlJc w:val="left"/>
        <w:rPr>
          <w:rFonts w:ascii="Verdana" w:hAnsi="Verdana" w:hint="default"/>
        </w:rPr>
      </w:lvl>
    </w:lvlOverride>
  </w:num>
  <w:num w:numId="3">
    <w:abstractNumId w:val="0"/>
    <w:lvlOverride w:ilvl="0">
      <w:lvl w:ilvl="0">
        <w:numFmt w:val="bullet"/>
        <w:lvlText w:val="•"/>
        <w:legacy w:legacy="1" w:legacySpace="0" w:legacyIndent="283"/>
        <w:lvlJc w:val="left"/>
        <w:rPr>
          <w:rFonts w:ascii="Verdana" w:hAnsi="Verdana" w:hint="default"/>
        </w:rPr>
      </w:lvl>
    </w:lvlOverride>
  </w:num>
  <w:num w:numId="4">
    <w:abstractNumId w:val="2"/>
  </w:num>
  <w:num w:numId="5">
    <w:abstractNumId w:val="0"/>
    <w:lvlOverride w:ilvl="0">
      <w:lvl w:ilvl="0">
        <w:numFmt w:val="bullet"/>
        <w:lvlText w:val="•"/>
        <w:legacy w:legacy="1" w:legacySpace="0" w:legacyIndent="293"/>
        <w:lvlJc w:val="left"/>
        <w:rPr>
          <w:rFonts w:ascii="Verdana" w:hAnsi="Verdana" w:hint="default"/>
        </w:rPr>
      </w:lvl>
    </w:lvlOverride>
  </w:num>
  <w:num w:numId="6">
    <w:abstractNumId w:val="0"/>
    <w:lvlOverride w:ilvl="0">
      <w:lvl w:ilvl="0">
        <w:numFmt w:val="bullet"/>
        <w:lvlText w:val="•"/>
        <w:legacy w:legacy="1" w:legacySpace="0" w:legacyIndent="297"/>
        <w:lvlJc w:val="left"/>
        <w:rPr>
          <w:rFonts w:ascii="Verdana" w:hAnsi="Verdana" w:hint="default"/>
        </w:rPr>
      </w:lvl>
    </w:lvlOverride>
  </w:num>
  <w:num w:numId="7">
    <w:abstractNumId w:val="0"/>
    <w:lvlOverride w:ilvl="0">
      <w:lvl w:ilvl="0">
        <w:numFmt w:val="bullet"/>
        <w:lvlText w:val="•"/>
        <w:legacy w:legacy="1" w:legacySpace="0" w:legacyIndent="302"/>
        <w:lvlJc w:val="left"/>
        <w:rPr>
          <w:rFonts w:ascii="Verdana" w:hAnsi="Verdana"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D0D"/>
    <w:rsid w:val="000470C7"/>
    <w:rsid w:val="00056DD0"/>
    <w:rsid w:val="00092E4D"/>
    <w:rsid w:val="000C0161"/>
    <w:rsid w:val="000E5E8C"/>
    <w:rsid w:val="000F129D"/>
    <w:rsid w:val="000F1B6F"/>
    <w:rsid w:val="00123BD1"/>
    <w:rsid w:val="001566FE"/>
    <w:rsid w:val="001D127E"/>
    <w:rsid w:val="001E423A"/>
    <w:rsid w:val="001F002D"/>
    <w:rsid w:val="00202A90"/>
    <w:rsid w:val="00204CA8"/>
    <w:rsid w:val="00206A9C"/>
    <w:rsid w:val="00273627"/>
    <w:rsid w:val="002C02C5"/>
    <w:rsid w:val="002C473B"/>
    <w:rsid w:val="00305684"/>
    <w:rsid w:val="00351FF9"/>
    <w:rsid w:val="00380E0C"/>
    <w:rsid w:val="003A629B"/>
    <w:rsid w:val="003B2B9A"/>
    <w:rsid w:val="003B52F5"/>
    <w:rsid w:val="003D0323"/>
    <w:rsid w:val="003D10D8"/>
    <w:rsid w:val="003D63E8"/>
    <w:rsid w:val="003E6E4D"/>
    <w:rsid w:val="0040088B"/>
    <w:rsid w:val="00402D7E"/>
    <w:rsid w:val="00405D0D"/>
    <w:rsid w:val="00431875"/>
    <w:rsid w:val="00432172"/>
    <w:rsid w:val="0044587F"/>
    <w:rsid w:val="00447573"/>
    <w:rsid w:val="00452ADB"/>
    <w:rsid w:val="00461C44"/>
    <w:rsid w:val="004728D8"/>
    <w:rsid w:val="004C081F"/>
    <w:rsid w:val="00503100"/>
    <w:rsid w:val="0050656E"/>
    <w:rsid w:val="005257CE"/>
    <w:rsid w:val="00537617"/>
    <w:rsid w:val="00566716"/>
    <w:rsid w:val="005679AF"/>
    <w:rsid w:val="00592705"/>
    <w:rsid w:val="006072CA"/>
    <w:rsid w:val="00660E50"/>
    <w:rsid w:val="006A78A9"/>
    <w:rsid w:val="006D75FC"/>
    <w:rsid w:val="006F0850"/>
    <w:rsid w:val="0071219A"/>
    <w:rsid w:val="0071227B"/>
    <w:rsid w:val="0079368E"/>
    <w:rsid w:val="007A4EE4"/>
    <w:rsid w:val="007A50CA"/>
    <w:rsid w:val="007D5276"/>
    <w:rsid w:val="007F1D13"/>
    <w:rsid w:val="008052E3"/>
    <w:rsid w:val="00855318"/>
    <w:rsid w:val="00896231"/>
    <w:rsid w:val="008A339E"/>
    <w:rsid w:val="008B4188"/>
    <w:rsid w:val="008D4C89"/>
    <w:rsid w:val="00924659"/>
    <w:rsid w:val="0094642A"/>
    <w:rsid w:val="0096617F"/>
    <w:rsid w:val="00976E6F"/>
    <w:rsid w:val="0099633B"/>
    <w:rsid w:val="009A3D59"/>
    <w:rsid w:val="00A214B7"/>
    <w:rsid w:val="00A356C8"/>
    <w:rsid w:val="00A52D22"/>
    <w:rsid w:val="00AA45D8"/>
    <w:rsid w:val="00AB1DDF"/>
    <w:rsid w:val="00AB5541"/>
    <w:rsid w:val="00AB6649"/>
    <w:rsid w:val="00AC6739"/>
    <w:rsid w:val="00B02EEA"/>
    <w:rsid w:val="00B77559"/>
    <w:rsid w:val="00B86E49"/>
    <w:rsid w:val="00BD0636"/>
    <w:rsid w:val="00BE317E"/>
    <w:rsid w:val="00BF3B7B"/>
    <w:rsid w:val="00C4375B"/>
    <w:rsid w:val="00C91591"/>
    <w:rsid w:val="00C931DE"/>
    <w:rsid w:val="00CE1B37"/>
    <w:rsid w:val="00CF5B91"/>
    <w:rsid w:val="00D11773"/>
    <w:rsid w:val="00D36B1F"/>
    <w:rsid w:val="00D467CF"/>
    <w:rsid w:val="00D47FCD"/>
    <w:rsid w:val="00D6425C"/>
    <w:rsid w:val="00D7334B"/>
    <w:rsid w:val="00D907DB"/>
    <w:rsid w:val="00DA06F7"/>
    <w:rsid w:val="00DC02C0"/>
    <w:rsid w:val="00DC1478"/>
    <w:rsid w:val="00DD2AE2"/>
    <w:rsid w:val="00DE5D86"/>
    <w:rsid w:val="00DF667A"/>
    <w:rsid w:val="00E0389D"/>
    <w:rsid w:val="00E15717"/>
    <w:rsid w:val="00E27196"/>
    <w:rsid w:val="00E650A0"/>
    <w:rsid w:val="00EB30C8"/>
    <w:rsid w:val="00EB546F"/>
    <w:rsid w:val="00F06687"/>
    <w:rsid w:val="00F2001A"/>
    <w:rsid w:val="00F75128"/>
    <w:rsid w:val="00F7638A"/>
    <w:rsid w:val="00F8353C"/>
    <w:rsid w:val="00FF30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0D"/>
    <w:pPr>
      <w:widowControl w:val="0"/>
      <w:autoSpaceDE w:val="0"/>
      <w:autoSpaceDN w:val="0"/>
      <w:adjustRightInd w:val="0"/>
    </w:pPr>
    <w:rPr>
      <w:rFonts w:ascii="Times New Roman" w:hAnsi="Times New Roman" w:cs="Verdana"/>
      <w:b/>
      <w:sz w:val="24"/>
    </w:rPr>
  </w:style>
  <w:style w:type="paragraph" w:styleId="Balk1">
    <w:name w:val="heading 1"/>
    <w:basedOn w:val="Normal"/>
    <w:next w:val="Normal"/>
    <w:link w:val="Balk1Char"/>
    <w:uiPriority w:val="9"/>
    <w:qFormat/>
    <w:rsid w:val="00405D0D"/>
    <w:pPr>
      <w:keepNext/>
      <w:spacing w:before="240" w:after="60"/>
      <w:outlineLvl w:val="0"/>
    </w:pPr>
    <w:rPr>
      <w:rFonts w:ascii="Cambria" w:hAnsi="Cambria" w:cs="Times New Roman"/>
      <w:b w:val="0"/>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405D0D"/>
    <w:rPr>
      <w:rFonts w:ascii="Cambria" w:hAnsi="Cambria" w:cs="Times New Roman"/>
      <w:b/>
      <w:bCs/>
      <w:kern w:val="32"/>
      <w:sz w:val="32"/>
      <w:szCs w:val="32"/>
    </w:rPr>
  </w:style>
  <w:style w:type="character" w:styleId="Vurgu">
    <w:name w:val="Emphasis"/>
    <w:basedOn w:val="VarsaylanParagrafYazTipi"/>
    <w:uiPriority w:val="20"/>
    <w:qFormat/>
    <w:rsid w:val="00405D0D"/>
    <w:rPr>
      <w:rFonts w:cs="Times New Roman"/>
      <w:i/>
      <w:iCs/>
    </w:rPr>
  </w:style>
  <w:style w:type="paragraph" w:styleId="stbilgi">
    <w:name w:val="header"/>
    <w:basedOn w:val="Normal"/>
    <w:link w:val="stbilgiChar"/>
    <w:uiPriority w:val="99"/>
    <w:semiHidden/>
    <w:unhideWhenUsed/>
    <w:rsid w:val="006D75FC"/>
    <w:pPr>
      <w:tabs>
        <w:tab w:val="center" w:pos="4536"/>
        <w:tab w:val="right" w:pos="9072"/>
      </w:tabs>
    </w:pPr>
  </w:style>
  <w:style w:type="character" w:customStyle="1" w:styleId="stbilgiChar">
    <w:name w:val="Üstbilgi Char"/>
    <w:basedOn w:val="VarsaylanParagrafYazTipi"/>
    <w:link w:val="stbilgi"/>
    <w:uiPriority w:val="99"/>
    <w:semiHidden/>
    <w:locked/>
    <w:rsid w:val="006D75FC"/>
    <w:rPr>
      <w:rFonts w:ascii="Times New Roman" w:hAnsi="Times New Roman" w:cs="Verdana"/>
      <w:b/>
      <w:sz w:val="20"/>
      <w:szCs w:val="20"/>
    </w:rPr>
  </w:style>
  <w:style w:type="paragraph" w:styleId="Altbilgi">
    <w:name w:val="footer"/>
    <w:basedOn w:val="Normal"/>
    <w:link w:val="AltbilgiChar"/>
    <w:uiPriority w:val="99"/>
    <w:unhideWhenUsed/>
    <w:rsid w:val="006D75FC"/>
    <w:pPr>
      <w:tabs>
        <w:tab w:val="center" w:pos="4536"/>
        <w:tab w:val="right" w:pos="9072"/>
      </w:tabs>
    </w:pPr>
  </w:style>
  <w:style w:type="character" w:customStyle="1" w:styleId="AltbilgiChar">
    <w:name w:val="Altbilgi Char"/>
    <w:basedOn w:val="VarsaylanParagrafYazTipi"/>
    <w:link w:val="Altbilgi"/>
    <w:uiPriority w:val="99"/>
    <w:locked/>
    <w:rsid w:val="006D75FC"/>
    <w:rPr>
      <w:rFonts w:ascii="Times New Roman" w:hAnsi="Times New Roman" w:cs="Verdana"/>
      <w:b/>
      <w:sz w:val="20"/>
      <w:szCs w:val="20"/>
    </w:rPr>
  </w:style>
  <w:style w:type="paragraph" w:customStyle="1" w:styleId="Default">
    <w:name w:val="Default"/>
    <w:rsid w:val="00AB1DD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3643745">
      <w:bodyDiv w:val="1"/>
      <w:marLeft w:val="0"/>
      <w:marRight w:val="0"/>
      <w:marTop w:val="0"/>
      <w:marBottom w:val="0"/>
      <w:divBdr>
        <w:top w:val="none" w:sz="0" w:space="0" w:color="auto"/>
        <w:left w:val="none" w:sz="0" w:space="0" w:color="auto"/>
        <w:bottom w:val="none" w:sz="0" w:space="0" w:color="auto"/>
        <w:right w:val="none" w:sz="0" w:space="0" w:color="auto"/>
      </w:divBdr>
      <w:divsChild>
        <w:div w:id="2133011883">
          <w:marLeft w:val="0"/>
          <w:marRight w:val="0"/>
          <w:marTop w:val="0"/>
          <w:marBottom w:val="0"/>
          <w:divBdr>
            <w:top w:val="none" w:sz="0" w:space="0" w:color="auto"/>
            <w:left w:val="none" w:sz="0" w:space="0" w:color="auto"/>
            <w:bottom w:val="none" w:sz="0" w:space="0" w:color="auto"/>
            <w:right w:val="none" w:sz="0" w:space="0" w:color="auto"/>
          </w:divBdr>
          <w:divsChild>
            <w:div w:id="1615600031">
              <w:marLeft w:val="0"/>
              <w:marRight w:val="0"/>
              <w:marTop w:val="0"/>
              <w:marBottom w:val="0"/>
              <w:divBdr>
                <w:top w:val="none" w:sz="0" w:space="0" w:color="auto"/>
                <w:left w:val="none" w:sz="0" w:space="0" w:color="auto"/>
                <w:bottom w:val="none" w:sz="0" w:space="0" w:color="auto"/>
                <w:right w:val="none" w:sz="0" w:space="0" w:color="auto"/>
              </w:divBdr>
              <w:divsChild>
                <w:div w:id="344091154">
                  <w:marLeft w:val="0"/>
                  <w:marRight w:val="0"/>
                  <w:marTop w:val="0"/>
                  <w:marBottom w:val="0"/>
                  <w:divBdr>
                    <w:top w:val="none" w:sz="0" w:space="0" w:color="auto"/>
                    <w:left w:val="none" w:sz="0" w:space="0" w:color="auto"/>
                    <w:bottom w:val="none" w:sz="0" w:space="0" w:color="auto"/>
                    <w:right w:val="none" w:sz="0" w:space="0" w:color="auto"/>
                  </w:divBdr>
                  <w:divsChild>
                    <w:div w:id="554854054">
                      <w:marLeft w:val="0"/>
                      <w:marRight w:val="0"/>
                      <w:marTop w:val="0"/>
                      <w:marBottom w:val="0"/>
                      <w:divBdr>
                        <w:top w:val="none" w:sz="0" w:space="0" w:color="auto"/>
                        <w:left w:val="none" w:sz="0" w:space="0" w:color="auto"/>
                        <w:bottom w:val="none" w:sz="0" w:space="0" w:color="auto"/>
                        <w:right w:val="none" w:sz="0" w:space="0" w:color="auto"/>
                      </w:divBdr>
                      <w:divsChild>
                        <w:div w:id="1959216644">
                          <w:marLeft w:val="0"/>
                          <w:marRight w:val="0"/>
                          <w:marTop w:val="0"/>
                          <w:marBottom w:val="0"/>
                          <w:divBdr>
                            <w:top w:val="none" w:sz="0" w:space="0" w:color="auto"/>
                            <w:left w:val="none" w:sz="0" w:space="0" w:color="auto"/>
                            <w:bottom w:val="none" w:sz="0" w:space="0" w:color="auto"/>
                            <w:right w:val="none" w:sz="0" w:space="0" w:color="auto"/>
                          </w:divBdr>
                          <w:divsChild>
                            <w:div w:id="591204790">
                              <w:marLeft w:val="576"/>
                              <w:marRight w:val="24"/>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3076</Words>
  <Characters>22732</Characters>
  <Application>Microsoft Office Word</Application>
  <DocSecurity>0</DocSecurity>
  <Lines>189</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lyallak</cp:lastModifiedBy>
  <cp:revision>35</cp:revision>
  <cp:lastPrinted>2014-04-10T12:01:00Z</cp:lastPrinted>
  <dcterms:created xsi:type="dcterms:W3CDTF">2012-08-06T11:34:00Z</dcterms:created>
  <dcterms:modified xsi:type="dcterms:W3CDTF">2014-08-08T12:12:00Z</dcterms:modified>
</cp:coreProperties>
</file>