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811FCB" w:rsidRDefault="007B2490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</w:t>
      </w:r>
      <w:r w:rsidR="00C93104" w:rsidRPr="00811FCB">
        <w:rPr>
          <w:rFonts w:ascii="Times New Roman" w:hAnsi="Times New Roman" w:cs="Times New Roman"/>
          <w:b/>
          <w:sz w:val="24"/>
          <w:szCs w:val="24"/>
        </w:rPr>
        <w:t>ISA ÜRÜN BİLGİSİ</w:t>
      </w:r>
    </w:p>
    <w:p w:rsidR="00C93104" w:rsidRPr="00811FCB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D83EA7" w:rsidRPr="00811FCB" w:rsidRDefault="00D83EA7" w:rsidP="00D8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</w:t>
      </w:r>
      <w:bookmarkStart w:id="0" w:name="OLE_LINK1"/>
      <w:r w:rsidRPr="00811FCB">
        <w:rPr>
          <w:rFonts w:ascii="Times New Roman" w:hAnsi="Times New Roman" w:cs="Times New Roman"/>
          <w:sz w:val="24"/>
          <w:szCs w:val="24"/>
        </w:rPr>
        <w:t>50 mg/2 ml İ.M./İ.V. infüzyon için çözelti içeren ampul</w:t>
      </w:r>
      <w:bookmarkEnd w:id="0"/>
    </w:p>
    <w:p w:rsidR="00D83EA7" w:rsidRPr="00811FCB" w:rsidRDefault="00D83EA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811FCB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6206CD" w:rsidRPr="00811FCB" w:rsidRDefault="006206C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Her bir ampul (2 ml) 50</w:t>
      </w:r>
      <w:r w:rsidR="005323EF" w:rsidRPr="00811FCB">
        <w:rPr>
          <w:rFonts w:ascii="Times New Roman" w:hAnsi="Times New Roman" w:cs="Times New Roman"/>
          <w:sz w:val="24"/>
          <w:szCs w:val="24"/>
        </w:rPr>
        <w:t>,0</w:t>
      </w:r>
      <w:r w:rsidRPr="00811FCB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eşdeğer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="00874AA9"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A9" w:rsidRPr="00811FCB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="00874AA9" w:rsidRPr="00811FCB">
        <w:rPr>
          <w:rFonts w:ascii="Times New Roman" w:hAnsi="Times New Roman" w:cs="Times New Roman"/>
          <w:sz w:val="24"/>
          <w:szCs w:val="24"/>
        </w:rPr>
        <w:t xml:space="preserve"> içerir.</w:t>
      </w:r>
    </w:p>
    <w:p w:rsidR="00043C1F" w:rsidRPr="00811FCB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>):</w:t>
      </w:r>
    </w:p>
    <w:p w:rsidR="00EB06FA" w:rsidRPr="00811FCB" w:rsidRDefault="00EB06FA" w:rsidP="00EB06FA">
      <w:pPr>
        <w:tabs>
          <w:tab w:val="righ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Potasyum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dihidrojen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ortofosfat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1.92 mg</w:t>
      </w:r>
    </w:p>
    <w:p w:rsidR="00EB06FA" w:rsidRPr="00811FCB" w:rsidRDefault="00EB06FA" w:rsidP="00EB06FA">
      <w:pPr>
        <w:tabs>
          <w:tab w:val="righ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Susuz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disodyum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hidrojen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ortofosfat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4.80 mg</w:t>
      </w:r>
    </w:p>
    <w:p w:rsidR="00874AA9" w:rsidRPr="00811FCB" w:rsidRDefault="00874AA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A9" w:rsidRPr="00811FCB" w:rsidRDefault="00874AA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6.1’e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874AA9" w:rsidRPr="00811FCB" w:rsidRDefault="00874AA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BC459E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FARMASÖ</w:t>
      </w:r>
      <w:r w:rsidR="00C93104" w:rsidRPr="00811FCB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616E59" w:rsidRPr="00811FCB" w:rsidRDefault="00D53B7C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İnfüzyon için çözelti.</w:t>
      </w:r>
    </w:p>
    <w:p w:rsidR="00D53B7C" w:rsidRPr="00811FCB" w:rsidRDefault="00D53B7C" w:rsidP="00D5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B">
        <w:rPr>
          <w:rFonts w:ascii="Times New Roman" w:hAnsi="Times New Roman" w:cs="Times New Roman"/>
          <w:sz w:val="24"/>
          <w:szCs w:val="24"/>
        </w:rPr>
        <w:t xml:space="preserve">Renksiz-açık sarı renkte, hafif karakteristik kokulu, berrak </w:t>
      </w:r>
      <w:r w:rsidR="000163F7" w:rsidRPr="00811FCB">
        <w:rPr>
          <w:rFonts w:ascii="Times New Roman" w:hAnsi="Times New Roman" w:cs="Times New Roman"/>
          <w:sz w:val="24"/>
          <w:szCs w:val="24"/>
        </w:rPr>
        <w:t>çözelti.</w:t>
      </w:r>
      <w:proofErr w:type="gramEnd"/>
    </w:p>
    <w:p w:rsidR="00D53B7C" w:rsidRPr="00811FCB" w:rsidRDefault="00D53B7C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0163F7" w:rsidRPr="00811FCB" w:rsidRDefault="000163F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>Erişkinler:</w:t>
      </w:r>
    </w:p>
    <w:p w:rsidR="0037110D" w:rsidRPr="00811FCB" w:rsidRDefault="000163F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ülser, selim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ülser, post-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ülser,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özofajiti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Zollinger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tedavileri</w:t>
      </w:r>
      <w:r w:rsidR="00A76B19" w:rsidRPr="00811FCB">
        <w:rPr>
          <w:rFonts w:ascii="Times New Roman" w:hAnsi="Times New Roman" w:cs="Times New Roman"/>
          <w:sz w:val="24"/>
          <w:szCs w:val="24"/>
        </w:rPr>
        <w:t>nde ve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salgı </w:t>
      </w:r>
      <w:r w:rsidR="00A76B19" w:rsidRPr="00811FCB">
        <w:rPr>
          <w:rFonts w:ascii="Times New Roman" w:hAnsi="Times New Roman" w:cs="Times New Roman"/>
          <w:sz w:val="24"/>
          <w:szCs w:val="24"/>
        </w:rPr>
        <w:t>il</w:t>
      </w:r>
      <w:r w:rsidRPr="00811FCB">
        <w:rPr>
          <w:rFonts w:ascii="Times New Roman" w:hAnsi="Times New Roman" w:cs="Times New Roman"/>
          <w:sz w:val="24"/>
          <w:szCs w:val="24"/>
        </w:rPr>
        <w:t xml:space="preserve">e asit üretiminin azaltılmasının istendiği </w:t>
      </w:r>
      <w:r w:rsidR="0037110D" w:rsidRPr="00811FCB">
        <w:rPr>
          <w:rFonts w:ascii="Times New Roman" w:hAnsi="Times New Roman" w:cs="Times New Roman"/>
          <w:sz w:val="24"/>
          <w:szCs w:val="24"/>
        </w:rPr>
        <w:t xml:space="preserve">aşağıdaki koşullarda </w:t>
      </w:r>
      <w:proofErr w:type="spellStart"/>
      <w:r w:rsidR="0037110D" w:rsidRPr="00811FCB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37110D" w:rsidRPr="00811FCB">
        <w:rPr>
          <w:rFonts w:ascii="Times New Roman" w:hAnsi="Times New Roman" w:cs="Times New Roman"/>
          <w:sz w:val="24"/>
          <w:szCs w:val="24"/>
        </w:rPr>
        <w:t>:</w:t>
      </w:r>
    </w:p>
    <w:p w:rsidR="0037110D" w:rsidRPr="00811FCB" w:rsidRDefault="0037110D" w:rsidP="00B732AE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A</w:t>
      </w:r>
      <w:r w:rsidR="000163F7" w:rsidRPr="00811FCB">
        <w:rPr>
          <w:rFonts w:ascii="Times New Roman" w:hAnsi="Times New Roman" w:cs="Times New Roman"/>
          <w:sz w:val="24"/>
          <w:szCs w:val="24"/>
        </w:rPr>
        <w:t xml:space="preserve">ğır hastalardaki stres </w:t>
      </w:r>
      <w:proofErr w:type="spellStart"/>
      <w:r w:rsidR="000163F7" w:rsidRPr="00811FCB">
        <w:rPr>
          <w:rFonts w:ascii="Times New Roman" w:hAnsi="Times New Roman" w:cs="Times New Roman"/>
          <w:sz w:val="24"/>
          <w:szCs w:val="24"/>
        </w:rPr>
        <w:t>ülserasyonundan</w:t>
      </w:r>
      <w:proofErr w:type="spellEnd"/>
      <w:r w:rsidR="000163F7" w:rsidRPr="00811FCB">
        <w:rPr>
          <w:rFonts w:ascii="Times New Roman" w:hAnsi="Times New Roman" w:cs="Times New Roman"/>
          <w:sz w:val="24"/>
          <w:szCs w:val="24"/>
        </w:rPr>
        <w:t xml:space="preserve"> kaynaklanan </w:t>
      </w:r>
      <w:proofErr w:type="spellStart"/>
      <w:r w:rsidR="000163F7" w:rsidRPr="00811FCB">
        <w:rPr>
          <w:rFonts w:ascii="Times New Roman" w:hAnsi="Times New Roman" w:cs="Times New Roman"/>
          <w:sz w:val="24"/>
          <w:szCs w:val="24"/>
        </w:rPr>
        <w:t>gastrointestin</w:t>
      </w:r>
      <w:r w:rsidRPr="00811FC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hemorajinin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,</w:t>
      </w:r>
    </w:p>
    <w:p w:rsidR="00B732AE" w:rsidRPr="00811FCB" w:rsidRDefault="0037110D" w:rsidP="00B732AE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K</w:t>
      </w:r>
      <w:r w:rsidR="004E587F" w:rsidRPr="00811FCB">
        <w:rPr>
          <w:rFonts w:ascii="Times New Roman" w:hAnsi="Times New Roman" w:cs="Times New Roman"/>
          <w:sz w:val="24"/>
          <w:szCs w:val="24"/>
        </w:rPr>
        <w:t xml:space="preserve">anamalı </w:t>
      </w:r>
      <w:proofErr w:type="spellStart"/>
      <w:r w:rsidR="004E587F" w:rsidRPr="00811FC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="004E587F" w:rsidRPr="00811FCB">
        <w:rPr>
          <w:rFonts w:ascii="Times New Roman" w:hAnsi="Times New Roman" w:cs="Times New Roman"/>
          <w:sz w:val="24"/>
          <w:szCs w:val="24"/>
        </w:rPr>
        <w:t xml:space="preserve"> ülseri olan hastalarda tekrarlan</w:t>
      </w:r>
      <w:r w:rsidR="00B732AE" w:rsidRPr="00811FCB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B732AE" w:rsidRPr="00811FCB">
        <w:rPr>
          <w:rFonts w:ascii="Times New Roman" w:hAnsi="Times New Roman" w:cs="Times New Roman"/>
          <w:sz w:val="24"/>
          <w:szCs w:val="24"/>
        </w:rPr>
        <w:t>hemorajinin</w:t>
      </w:r>
      <w:proofErr w:type="spellEnd"/>
      <w:r w:rsidR="00B732AE"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AE" w:rsidRPr="00811FCB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="00B732AE" w:rsidRPr="00811FCB">
        <w:rPr>
          <w:rFonts w:ascii="Times New Roman" w:hAnsi="Times New Roman" w:cs="Times New Roman"/>
          <w:sz w:val="24"/>
          <w:szCs w:val="24"/>
        </w:rPr>
        <w:t>,</w:t>
      </w:r>
    </w:p>
    <w:p w:rsidR="000163F7" w:rsidRPr="00811FCB" w:rsidRDefault="00B732AE" w:rsidP="00B732AE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A</w:t>
      </w:r>
      <w:r w:rsidR="000163F7" w:rsidRPr="00811FCB">
        <w:rPr>
          <w:rFonts w:ascii="Times New Roman" w:hAnsi="Times New Roman" w:cs="Times New Roman"/>
          <w:sz w:val="24"/>
          <w:szCs w:val="24"/>
        </w:rPr>
        <w:t xml:space="preserve">sit </w:t>
      </w:r>
      <w:proofErr w:type="spellStart"/>
      <w:r w:rsidR="000163F7" w:rsidRPr="00811FCB">
        <w:rPr>
          <w:rFonts w:ascii="Times New Roman" w:hAnsi="Times New Roman" w:cs="Times New Roman"/>
          <w:sz w:val="24"/>
          <w:szCs w:val="24"/>
        </w:rPr>
        <w:t>aspirasyonu</w:t>
      </w:r>
      <w:proofErr w:type="spellEnd"/>
      <w:r w:rsidR="000163F7" w:rsidRPr="00811F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3F7" w:rsidRPr="00811FCB">
        <w:rPr>
          <w:rFonts w:ascii="Times New Roman" w:hAnsi="Times New Roman" w:cs="Times New Roman"/>
          <w:sz w:val="24"/>
          <w:szCs w:val="24"/>
        </w:rPr>
        <w:t>Mendelson</w:t>
      </w:r>
      <w:proofErr w:type="spellEnd"/>
      <w:r w:rsidR="000163F7" w:rsidRPr="00811FCB">
        <w:rPr>
          <w:rFonts w:ascii="Times New Roman" w:hAnsi="Times New Roman" w:cs="Times New Roman"/>
          <w:sz w:val="24"/>
          <w:szCs w:val="24"/>
        </w:rPr>
        <w:t xml:space="preserve"> Sendromu) riski bulunan hastalarda genel anesteziden önce, özellikle doğum sürecindek</w:t>
      </w:r>
      <w:r w:rsidRPr="00811FC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hastalarda</w:t>
      </w:r>
      <w:r w:rsidR="000163F7" w:rsidRPr="00811FCB">
        <w:rPr>
          <w:rFonts w:ascii="Times New Roman" w:hAnsi="Times New Roman" w:cs="Times New Roman"/>
          <w:sz w:val="24"/>
          <w:szCs w:val="24"/>
        </w:rPr>
        <w:t>.</w:t>
      </w:r>
    </w:p>
    <w:p w:rsidR="006613AF" w:rsidRPr="00811FCB" w:rsidRDefault="006613AF" w:rsidP="0001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Uygun vakalar için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RANİTAB’ın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tablet formu da bulunmaktadır.</w:t>
      </w:r>
    </w:p>
    <w:p w:rsidR="00B732AE" w:rsidRPr="00811FCB" w:rsidRDefault="00B732AE" w:rsidP="0001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>Çocuklar (6 ay – 18 yaş arası):</w:t>
      </w:r>
    </w:p>
    <w:p w:rsidR="00B732AE" w:rsidRPr="00811FCB" w:rsidRDefault="00B732AE" w:rsidP="0001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ülserlerin kısa dönem tedavisi </w:t>
      </w:r>
      <w:r w:rsidR="004B3636" w:rsidRPr="00811FCB">
        <w:rPr>
          <w:rFonts w:ascii="Times New Roman" w:hAnsi="Times New Roman" w:cs="Times New Roman"/>
          <w:sz w:val="24"/>
          <w:szCs w:val="24"/>
        </w:rPr>
        <w:t>ile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özofajiti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hastalığının semptomlarının giderilmesi de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reflünün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.</w:t>
      </w:r>
    </w:p>
    <w:p w:rsidR="006613AF" w:rsidRPr="00811FCB" w:rsidRDefault="006613AF" w:rsidP="0001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811FC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D40BC2" w:rsidRPr="00811FCB" w:rsidRDefault="00D40BC2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Erişkinler (yaşlılar </w:t>
      </w:r>
      <w:proofErr w:type="gramStart"/>
      <w:r w:rsidRPr="00811FCB"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 w:rsidRPr="00811FCB">
        <w:rPr>
          <w:rFonts w:ascii="Times New Roman" w:hAnsi="Times New Roman" w:cs="Times New Roman"/>
          <w:sz w:val="24"/>
          <w:szCs w:val="24"/>
          <w:u w:val="single"/>
        </w:rPr>
        <w:t>)/</w:t>
      </w:r>
      <w:proofErr w:type="spellStart"/>
      <w:r w:rsidRPr="00811FCB">
        <w:rPr>
          <w:rFonts w:ascii="Times New Roman" w:hAnsi="Times New Roman" w:cs="Times New Roman"/>
          <w:sz w:val="24"/>
          <w:szCs w:val="24"/>
          <w:u w:val="single"/>
        </w:rPr>
        <w:t>Adolesanlar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 (12 yaş ve üzeri)</w:t>
      </w:r>
    </w:p>
    <w:p w:rsidR="00D40BC2" w:rsidRPr="00811FCB" w:rsidRDefault="00D314EA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20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ml</w:t>
      </w:r>
      <w:r w:rsidR="00A80FD9" w:rsidRPr="00811FCB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A80FD9" w:rsidRPr="00811FCB">
        <w:rPr>
          <w:rFonts w:ascii="Times New Roman" w:hAnsi="Times New Roman" w:cs="Times New Roman"/>
          <w:sz w:val="24"/>
          <w:szCs w:val="24"/>
        </w:rPr>
        <w:t xml:space="preserve"> 50 mg doz olacak şekilde</w:t>
      </w:r>
      <w:r w:rsidRPr="00811FCB">
        <w:rPr>
          <w:rFonts w:ascii="Times New Roman" w:hAnsi="Times New Roman" w:cs="Times New Roman"/>
          <w:sz w:val="24"/>
          <w:szCs w:val="24"/>
        </w:rPr>
        <w:t xml:space="preserve"> seyreltildikten sonra yavaş (2 dakika süresince) intravenöz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yolu ile 6-8 saatte bir tekrarlanarak 50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kadar, ya da iki saat süresince saatte 25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hız ile aralıklı intravenöz infüzyon yolu ile 6-8 saatlik aralıklarla tekrarlanarak veya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enjeksiyon yoluyla 6-8 saatte bir 50 mg (2 ml) uygulanabilir.</w:t>
      </w:r>
    </w:p>
    <w:p w:rsidR="00D40BC2" w:rsidRPr="00811FCB" w:rsidRDefault="00D40BC2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36" w:rsidRPr="00811FCB" w:rsidRDefault="0028032B" w:rsidP="004B36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FCB">
        <w:rPr>
          <w:rFonts w:ascii="Times New Roman" w:hAnsi="Times New Roman" w:cs="Times New Roman"/>
          <w:i/>
          <w:sz w:val="24"/>
          <w:szCs w:val="24"/>
        </w:rPr>
        <w:t xml:space="preserve">Stres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ülserasyonundan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 xml:space="preserve"> kaynaklanan veya tekrarlayan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hemorajinin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>:</w:t>
      </w:r>
    </w:p>
    <w:p w:rsidR="0028032B" w:rsidRPr="00811FCB" w:rsidRDefault="0028032B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Ağır hastalarda stres ülserlerinden kaynaklanan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hemorajinin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ülserasyon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kaynaklı kanaması olan hastalarda tekrarlayan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hemorajinin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oral beslenme başlayana kadar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uygulamaya devam edilebilir. Yine de risk altında olduğu düşünülen hastalara ise günde 2 kere RANİTAB </w:t>
      </w:r>
      <w:r w:rsidR="00D01349" w:rsidRPr="00811FCB">
        <w:rPr>
          <w:rFonts w:ascii="Times New Roman" w:hAnsi="Times New Roman" w:cs="Times New Roman"/>
          <w:sz w:val="24"/>
          <w:szCs w:val="24"/>
        </w:rPr>
        <w:t xml:space="preserve">150 mg film </w:t>
      </w:r>
      <w:r w:rsidRPr="00811FCB">
        <w:rPr>
          <w:rFonts w:ascii="Times New Roman" w:hAnsi="Times New Roman" w:cs="Times New Roman"/>
          <w:sz w:val="24"/>
          <w:szCs w:val="24"/>
        </w:rPr>
        <w:t>tablet tedavisine başlanabilir.</w:t>
      </w:r>
    </w:p>
    <w:p w:rsidR="0087329F" w:rsidRPr="00811FCB" w:rsidRDefault="0087329F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9F" w:rsidRPr="00811FCB" w:rsidRDefault="0087329F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Ağır hastalarda stres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ülserasyonundan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kaynaklanan üst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hemorajinin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yavaş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yoluyla uygulanan 50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yükleme dozunu takiben 0.125-0.250 mg/kg/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sa’lik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sürekli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tercih edilebilir.</w:t>
      </w:r>
    </w:p>
    <w:p w:rsidR="0087329F" w:rsidRPr="00811FCB" w:rsidRDefault="0087329F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C2" w:rsidRPr="00811FCB" w:rsidRDefault="0066038D" w:rsidP="004B36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Mendelson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 xml:space="preserve"> Sendromu’nun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>:</w:t>
      </w:r>
    </w:p>
    <w:p w:rsidR="0066038D" w:rsidRPr="00811FCB" w:rsidRDefault="0066038D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Asit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sendromu gelişme riski altında olduğu düşünülen hastalarda, genel anestezinin indüksiyonundan 45-60 dakika önce 50 mg RANİTAB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yoldan veya yavaş intravenöz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yoluyla uygulanabilir.</w:t>
      </w:r>
    </w:p>
    <w:p w:rsidR="0066038D" w:rsidRPr="00811FCB" w:rsidRDefault="0066038D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36" w:rsidRPr="00811FCB" w:rsidRDefault="00786536" w:rsidP="004B363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FCB">
        <w:rPr>
          <w:rFonts w:ascii="Times New Roman" w:hAnsi="Times New Roman" w:cs="Times New Roman"/>
          <w:i/>
          <w:sz w:val="24"/>
          <w:szCs w:val="24"/>
        </w:rPr>
        <w:t xml:space="preserve">Ağır hastalarda stres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ülserasyonunun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>:</w:t>
      </w:r>
    </w:p>
    <w:p w:rsidR="00786536" w:rsidRPr="00811FCB" w:rsidRDefault="00786536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Stres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ülserasyonunun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profilaksisi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için önerilen doz 6-8 saatte bir 1 mg/kg (maksimum 50 mg)’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>.</w:t>
      </w:r>
    </w:p>
    <w:p w:rsidR="00786536" w:rsidRPr="00811FCB" w:rsidRDefault="00786536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Alternatif </w:t>
      </w:r>
      <w:r w:rsidR="00EE473A" w:rsidRPr="00811FCB">
        <w:rPr>
          <w:rFonts w:ascii="Times New Roman" w:hAnsi="Times New Roman" w:cs="Times New Roman"/>
          <w:sz w:val="24"/>
          <w:szCs w:val="24"/>
        </w:rPr>
        <w:t xml:space="preserve">olarak </w:t>
      </w:r>
      <w:r w:rsidRPr="00811FCB">
        <w:rPr>
          <w:rFonts w:ascii="Times New Roman" w:hAnsi="Times New Roman" w:cs="Times New Roman"/>
          <w:sz w:val="24"/>
          <w:szCs w:val="24"/>
        </w:rPr>
        <w:t xml:space="preserve">tedavi, </w:t>
      </w:r>
      <w:r w:rsidR="00F204E0" w:rsidRPr="00811FCB">
        <w:rPr>
          <w:rFonts w:ascii="Times New Roman" w:hAnsi="Times New Roman" w:cs="Times New Roman"/>
          <w:sz w:val="24"/>
          <w:szCs w:val="24"/>
        </w:rPr>
        <w:t>0.125-0.250 mili</w:t>
      </w:r>
      <w:r w:rsidRPr="00811FCB">
        <w:rPr>
          <w:rFonts w:ascii="Times New Roman" w:hAnsi="Times New Roman" w:cs="Times New Roman"/>
          <w:sz w:val="24"/>
          <w:szCs w:val="24"/>
        </w:rPr>
        <w:t>gram/kg/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sürekli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olarak gerçekleştirilebilir.</w:t>
      </w:r>
    </w:p>
    <w:p w:rsidR="00F204E0" w:rsidRPr="00811FCB" w:rsidRDefault="00F204E0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6EB" w:rsidRPr="00811FCB" w:rsidRDefault="007F76EB" w:rsidP="004B36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7F76EB" w:rsidRPr="00811FCB" w:rsidRDefault="007F76EB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intramüsküler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yoldan uygulanır.</w:t>
      </w:r>
    </w:p>
    <w:p w:rsidR="0039667E" w:rsidRPr="00811FCB" w:rsidRDefault="0039667E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6EB" w:rsidRPr="00811FCB" w:rsidRDefault="007F76EB" w:rsidP="004B36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811FCB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7F76EB" w:rsidRPr="00811FCB" w:rsidRDefault="007F76EB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Böbrek yetmezliği: </w:t>
      </w:r>
      <w:r w:rsidRPr="00811FCB">
        <w:rPr>
          <w:rFonts w:ascii="Times New Roman" w:hAnsi="Times New Roman" w:cs="Times New Roman"/>
          <w:sz w:val="24"/>
          <w:szCs w:val="24"/>
        </w:rPr>
        <w:t>Böbrek yetmezliği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50 ml/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dk’dan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az) olan hastalarda artmış plazma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ile sonuçlanan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birikmesi meydana gelecektir. Dolayısıyla böyle hastalarda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dozlar halinde uygulanması önerilmektedir.</w:t>
      </w:r>
    </w:p>
    <w:p w:rsidR="007F76EB" w:rsidRPr="00811FCB" w:rsidRDefault="007F76EB" w:rsidP="004B3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6D" w:rsidRPr="00811FCB" w:rsidRDefault="004F6F6D" w:rsidP="004F6F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1FCB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11FCB">
        <w:rPr>
          <w:rFonts w:ascii="Times New Roman" w:hAnsi="Times New Roman" w:cs="Times New Roman"/>
          <w:b/>
          <w:sz w:val="24"/>
          <w:szCs w:val="24"/>
        </w:rPr>
        <w:t>:</w:t>
      </w:r>
    </w:p>
    <w:p w:rsidR="00261A56" w:rsidRPr="00811FCB" w:rsidRDefault="00261A56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2-4 mg/kg toplam doz olacak şekilde, bölünmüş ve devamlı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şeklinde kullanılır. </w:t>
      </w:r>
    </w:p>
    <w:p w:rsidR="00B75BAF" w:rsidRPr="00811FCB" w:rsidRDefault="00B75BAF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  <w:u w:val="single"/>
        </w:rPr>
        <w:t>Yenidoğanlar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 (1 ay altı):</w:t>
      </w:r>
      <w:r w:rsidRPr="00811FCB">
        <w:rPr>
          <w:rFonts w:ascii="Times New Roman" w:hAnsi="Times New Roman" w:cs="Times New Roman"/>
          <w:sz w:val="24"/>
          <w:szCs w:val="24"/>
        </w:rPr>
        <w:t xml:space="preserve"> Bkz. Bölüm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Farmakokinetik özellikler – Hastalardaki karakteristik özellikler.</w:t>
      </w:r>
    </w:p>
    <w:p w:rsidR="00B75BAF" w:rsidRPr="00811FCB" w:rsidRDefault="00B75BAF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6D" w:rsidRPr="00811FCB" w:rsidRDefault="004F6F6D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Çocuklar / </w:t>
      </w:r>
      <w:proofErr w:type="spellStart"/>
      <w:r w:rsidRPr="00811FCB">
        <w:rPr>
          <w:rFonts w:ascii="Times New Roman" w:hAnsi="Times New Roman" w:cs="Times New Roman"/>
          <w:sz w:val="24"/>
          <w:szCs w:val="24"/>
          <w:u w:val="single"/>
        </w:rPr>
        <w:t>İnfantlar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 (6 ay – 11 yaş)</w:t>
      </w:r>
    </w:p>
    <w:p w:rsidR="004F6F6D" w:rsidRPr="00811FCB" w:rsidRDefault="004F6F6D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yavaş (en az 2 dakika süresince) intravenöz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ile 6-8 saatte bir maksimum 50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kadar </w:t>
      </w:r>
      <w:r w:rsidR="00CE38A9" w:rsidRPr="00811FCB">
        <w:rPr>
          <w:rFonts w:ascii="Times New Roman" w:hAnsi="Times New Roman" w:cs="Times New Roman"/>
          <w:sz w:val="24"/>
          <w:szCs w:val="24"/>
        </w:rPr>
        <w:t>uygulanabilir (bkz. Bölüm 5.2)</w:t>
      </w:r>
      <w:r w:rsidR="00E10DDC" w:rsidRPr="00811FCB">
        <w:rPr>
          <w:rFonts w:ascii="Times New Roman" w:hAnsi="Times New Roman" w:cs="Times New Roman"/>
          <w:sz w:val="24"/>
          <w:szCs w:val="24"/>
        </w:rPr>
        <w:t>.</w:t>
      </w:r>
    </w:p>
    <w:p w:rsidR="00CE38A9" w:rsidRPr="00811FCB" w:rsidRDefault="00CE38A9" w:rsidP="00CE3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F6D" w:rsidRPr="00811FCB" w:rsidRDefault="004F6F6D" w:rsidP="004F6F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Peptik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 xml:space="preserve"> ülserin akut tedavisi ve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gastroözofageal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i/>
          <w:sz w:val="24"/>
          <w:szCs w:val="24"/>
        </w:rPr>
        <w:t>reflü</w:t>
      </w:r>
      <w:proofErr w:type="spellEnd"/>
      <w:r w:rsidRPr="00811FCB">
        <w:rPr>
          <w:rFonts w:ascii="Times New Roman" w:hAnsi="Times New Roman" w:cs="Times New Roman"/>
          <w:i/>
          <w:sz w:val="24"/>
          <w:szCs w:val="24"/>
        </w:rPr>
        <w:t>:</w:t>
      </w:r>
    </w:p>
    <w:p w:rsidR="004F6F6D" w:rsidRPr="00811FCB" w:rsidRDefault="004F6F6D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ülserli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hastalarda intravenöz tedavi, yalnızca oral tedavinin mümkün olmadığı durumlarda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.</w:t>
      </w:r>
    </w:p>
    <w:p w:rsidR="004F6F6D" w:rsidRPr="00811FCB" w:rsidRDefault="004F6F6D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6D" w:rsidRPr="00811FCB" w:rsidRDefault="009A0132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hastalarda</w:t>
      </w:r>
      <w:r w:rsidR="004F6F6D"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ülser hastalığının </w:t>
      </w:r>
      <w:r w:rsidR="00E10DDC" w:rsidRPr="00811FCB">
        <w:rPr>
          <w:rFonts w:ascii="Times New Roman" w:hAnsi="Times New Roman" w:cs="Times New Roman"/>
          <w:sz w:val="24"/>
          <w:szCs w:val="24"/>
        </w:rPr>
        <w:t>v</w:t>
      </w:r>
      <w:r w:rsidR="004F6F6D" w:rsidRPr="00811FC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reflünün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akut tedavisinde</w:t>
      </w:r>
      <w:r w:rsidRPr="00811FCB">
        <w:rPr>
          <w:rFonts w:ascii="Times New Roman" w:hAnsi="Times New Roman" w:cs="Times New Roman"/>
          <w:sz w:val="24"/>
          <w:szCs w:val="24"/>
        </w:rPr>
        <w:t xml:space="preserve"> RANİTAB, </w:t>
      </w:r>
      <w:r w:rsidR="004F6F6D" w:rsidRPr="00811FCB">
        <w:rPr>
          <w:rFonts w:ascii="Times New Roman" w:hAnsi="Times New Roman" w:cs="Times New Roman"/>
          <w:sz w:val="24"/>
          <w:szCs w:val="24"/>
        </w:rPr>
        <w:t>ilacın erişkinlerde bu hastalıklar için ve ciddi derecede hasta çocuklarda asit baskılaması için etkin olduğu gösterilen dozlar</w:t>
      </w:r>
      <w:r w:rsidRPr="00811FCB">
        <w:rPr>
          <w:rFonts w:ascii="Times New Roman" w:hAnsi="Times New Roman" w:cs="Times New Roman"/>
          <w:sz w:val="24"/>
          <w:szCs w:val="24"/>
        </w:rPr>
        <w:t>da uygulanabilir</w:t>
      </w:r>
      <w:r w:rsidR="004F6F6D" w:rsidRPr="00811FCB">
        <w:rPr>
          <w:rFonts w:ascii="Times New Roman" w:hAnsi="Times New Roman" w:cs="Times New Roman"/>
          <w:sz w:val="24"/>
          <w:szCs w:val="24"/>
        </w:rPr>
        <w:t>. Başlangıç dozu (</w:t>
      </w:r>
      <w:proofErr w:type="gramStart"/>
      <w:r w:rsidR="004F6F6D" w:rsidRPr="00811FCB">
        <w:rPr>
          <w:rFonts w:ascii="Times New Roman" w:hAnsi="Times New Roman" w:cs="Times New Roman"/>
          <w:sz w:val="24"/>
          <w:szCs w:val="24"/>
        </w:rPr>
        <w:t>2.0</w:t>
      </w:r>
      <w:proofErr w:type="gram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mg/kg ya</w:t>
      </w:r>
      <w:r w:rsidR="00EB11F0" w:rsidRPr="00811FCB">
        <w:rPr>
          <w:rFonts w:ascii="Times New Roman" w:hAnsi="Times New Roman" w:cs="Times New Roman"/>
          <w:sz w:val="24"/>
          <w:szCs w:val="24"/>
        </w:rPr>
        <w:t> </w:t>
      </w:r>
      <w:r w:rsidR="004F6F6D" w:rsidRPr="00811FCB">
        <w:rPr>
          <w:rFonts w:ascii="Times New Roman" w:hAnsi="Times New Roman" w:cs="Times New Roman"/>
          <w:sz w:val="24"/>
          <w:szCs w:val="24"/>
        </w:rPr>
        <w:t xml:space="preserve">da 2.5 mg/kg, maksimum 50 mg) 10 dakika süresince yavaş intravenöz infüzyon yoluyla, ya bir şırınga pompası ve bunu takiben 5 dakika boyunca 3 ml serum fizyolojik ile yıkama ile ya da serum fizyolojik ile 20 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ml’ye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seyreltildikten sonra uygulanabilir. 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pH’nın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F6D" w:rsidRPr="00811FCB">
        <w:rPr>
          <w:rFonts w:ascii="Times New Roman" w:hAnsi="Times New Roman" w:cs="Times New Roman"/>
          <w:sz w:val="24"/>
          <w:szCs w:val="24"/>
        </w:rPr>
        <w:t>4.0’dan</w:t>
      </w:r>
      <w:proofErr w:type="gram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yüksek olmasının sürdürülmesi, her 6-</w:t>
      </w:r>
      <w:r w:rsidR="00FF77C2" w:rsidRPr="00811FCB">
        <w:rPr>
          <w:rFonts w:ascii="Times New Roman" w:hAnsi="Times New Roman" w:cs="Times New Roman"/>
          <w:sz w:val="24"/>
          <w:szCs w:val="24"/>
        </w:rPr>
        <w:t>8</w:t>
      </w:r>
      <w:r w:rsidR="004F6F6D" w:rsidRPr="00811FCB">
        <w:rPr>
          <w:rFonts w:ascii="Times New Roman" w:hAnsi="Times New Roman" w:cs="Times New Roman"/>
          <w:sz w:val="24"/>
          <w:szCs w:val="24"/>
        </w:rPr>
        <w:t xml:space="preserve"> saatte 1.5 mg/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aralıklı </w:t>
      </w:r>
      <w:proofErr w:type="spellStart"/>
      <w:r w:rsidR="004F6F6D" w:rsidRPr="00811FCB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4F6F6D" w:rsidRPr="00811FCB">
        <w:rPr>
          <w:rFonts w:ascii="Times New Roman" w:hAnsi="Times New Roman" w:cs="Times New Roman"/>
          <w:sz w:val="24"/>
          <w:szCs w:val="24"/>
        </w:rPr>
        <w:t xml:space="preserve"> uygulaması ile sağlanabilir. Alternatif </w:t>
      </w:r>
      <w:r w:rsidR="00E24D1B" w:rsidRPr="00811FCB">
        <w:rPr>
          <w:rFonts w:ascii="Times New Roman" w:hAnsi="Times New Roman" w:cs="Times New Roman"/>
          <w:sz w:val="24"/>
          <w:szCs w:val="24"/>
        </w:rPr>
        <w:t>olarak sürekli tedavi</w:t>
      </w:r>
      <w:r w:rsidR="004F6F6D" w:rsidRPr="00811FCB">
        <w:rPr>
          <w:rFonts w:ascii="Times New Roman" w:hAnsi="Times New Roman" w:cs="Times New Roman"/>
          <w:sz w:val="24"/>
          <w:szCs w:val="24"/>
        </w:rPr>
        <w:t xml:space="preserve">, 0.45 </w:t>
      </w:r>
      <w:r w:rsidR="00CE38A9" w:rsidRPr="00811FCB">
        <w:rPr>
          <w:rFonts w:ascii="Times New Roman" w:hAnsi="Times New Roman" w:cs="Times New Roman"/>
          <w:sz w:val="24"/>
          <w:szCs w:val="24"/>
        </w:rPr>
        <w:t>mg/</w:t>
      </w:r>
      <w:proofErr w:type="spellStart"/>
      <w:r w:rsidR="00CE38A9" w:rsidRPr="00811FCB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="00CE38A9" w:rsidRPr="00811FCB">
        <w:rPr>
          <w:rFonts w:ascii="Times New Roman" w:hAnsi="Times New Roman" w:cs="Times New Roman"/>
          <w:sz w:val="24"/>
          <w:szCs w:val="24"/>
        </w:rPr>
        <w:t xml:space="preserve"> bir yükleme dozunun ardından 0.15 mg/kg/</w:t>
      </w:r>
      <w:proofErr w:type="spellStart"/>
      <w:r w:rsidR="00CE38A9" w:rsidRPr="00811F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E38A9" w:rsidRPr="00811FCB">
        <w:rPr>
          <w:rFonts w:ascii="Times New Roman" w:hAnsi="Times New Roman" w:cs="Times New Roman"/>
          <w:sz w:val="24"/>
          <w:szCs w:val="24"/>
        </w:rPr>
        <w:t xml:space="preserve"> dozda sürekli </w:t>
      </w:r>
      <w:proofErr w:type="spellStart"/>
      <w:r w:rsidR="00CE38A9" w:rsidRPr="00811FCB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CE38A9" w:rsidRPr="00811FCB">
        <w:rPr>
          <w:rFonts w:ascii="Times New Roman" w:hAnsi="Times New Roman" w:cs="Times New Roman"/>
          <w:sz w:val="24"/>
          <w:szCs w:val="24"/>
        </w:rPr>
        <w:t xml:space="preserve"> uygulaması ile gerçekleştirilebilir.</w:t>
      </w:r>
    </w:p>
    <w:p w:rsidR="0070404E" w:rsidRPr="00811FCB" w:rsidRDefault="0070404E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AF" w:rsidRPr="00811FCB" w:rsidRDefault="00B75BAF" w:rsidP="00B75B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811FCB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11FCB">
        <w:rPr>
          <w:rFonts w:ascii="Times New Roman" w:hAnsi="Times New Roman" w:cs="Times New Roman"/>
          <w:b/>
          <w:sz w:val="24"/>
          <w:szCs w:val="24"/>
        </w:rPr>
        <w:t>:</w:t>
      </w:r>
    </w:p>
    <w:p w:rsidR="00B75BAF" w:rsidRPr="00811FCB" w:rsidRDefault="00B75BAF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Bkz. Bölüm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Farmakokinetik özellikler – Hastalardaki karakteristik özellikler.</w:t>
      </w:r>
    </w:p>
    <w:p w:rsidR="000A2953" w:rsidRDefault="000A2953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E" w:rsidRDefault="00BC459E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E" w:rsidRPr="00811FCB" w:rsidRDefault="00BC459E" w:rsidP="004F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lastRenderedPageBreak/>
        <w:t>Kontrendikasyonlar</w:t>
      </w:r>
      <w:proofErr w:type="spellEnd"/>
    </w:p>
    <w:p w:rsidR="00616E59" w:rsidRPr="00811FCB" w:rsidRDefault="004E282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RANİTAB içeriğindeki bileşenlerden herhangi birine karşı aşırı duyarlılığı olduğu bilinen hastalarda kontrendikedir.</w:t>
      </w:r>
    </w:p>
    <w:p w:rsidR="004E2824" w:rsidRPr="00811FCB" w:rsidRDefault="004E282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616E59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</w:t>
      </w:r>
      <w:r w:rsidRPr="00811F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1FC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ile tedavi mide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karsinomasına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bağlı semptomları maskeleyebilir ve böylece bu durumun teşhis edilmesini geciktirebilir. Bu nedenle RANİTAB tedavisi başlatılmadan önce,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ülserden şüphelenilen durumlarda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ihtimali bertaraf edilmelidir.</w:t>
      </w: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böbrekler yoluyla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itrah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edilir ve bu yüzden böbrek yetmezliği olan hastalarda ilacın plazma düzeyleri yüksektir. Bölüm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– Böbrek yetmezliği bölümünde detaylandırıldığı gibi doz ayarlaması yapılmalıdır.</w:t>
      </w: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RANİTAB’ın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hızlı uygulanmasına bağlı olarak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genelde kardiyak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bozuklukları için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predispozan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faktörleri taşıyan hastalarda olmak üzere nadir olarak bildirilmiştir. Önerilen uygulama hızları aşılmamalıdır.</w:t>
      </w: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Tedavinin 5 günden uzun sürmesi halinde, intravenöz H</w:t>
      </w:r>
      <w:r w:rsidRPr="00811F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1FC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antagonistlerinin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önerilenden yüksek dozlarda kullanımı ile karaciğer enzimlerinde artış olduğu bildirilmiştir.</w:t>
      </w:r>
    </w:p>
    <w:p w:rsidR="00BB04B4" w:rsidRPr="00811FCB" w:rsidRDefault="00BB04B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B4" w:rsidRPr="00811FCB" w:rsidRDefault="00923C4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uygulamasına bağlı akut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intermitan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porfiriye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ait klinik raporların seyrek ve yetersiz olmasına karşın, bu durumla ilgili öyküsü olan hastalarda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kullanımından kaçınılmalıdır.</w:t>
      </w:r>
    </w:p>
    <w:p w:rsidR="00923C48" w:rsidRPr="00811FCB" w:rsidRDefault="00923C4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48" w:rsidRPr="00811FCB" w:rsidRDefault="00923C4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Yaşlılar, kronik akciğer hastalığı, diyabeti olan ya da bağışıklık sistemi baskılanmış olan hasta gruplarında toplumdan kazanılmış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gelişme riskinde artış olabilir. Geniş bir epidemiyolojik çalışma, sadece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kullanmakta olan hastalarda, tedavisi sonlanmış hastalara göre </w:t>
      </w:r>
      <w:r w:rsidR="007A2A7F" w:rsidRPr="00811FCB">
        <w:rPr>
          <w:rFonts w:ascii="Times New Roman" w:hAnsi="Times New Roman" w:cs="Times New Roman"/>
          <w:sz w:val="24"/>
          <w:szCs w:val="24"/>
        </w:rPr>
        <w:t>t</w:t>
      </w:r>
      <w:r w:rsidRPr="00811FCB">
        <w:rPr>
          <w:rFonts w:ascii="Times New Roman" w:hAnsi="Times New Roman" w:cs="Times New Roman"/>
          <w:sz w:val="24"/>
          <w:szCs w:val="24"/>
        </w:rPr>
        <w:t xml:space="preserve">oplumdan kazanılmış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riski</w:t>
      </w:r>
      <w:r w:rsidR="007A2A7F" w:rsidRPr="00811FCB">
        <w:rPr>
          <w:rFonts w:ascii="Times New Roman" w:hAnsi="Times New Roman" w:cs="Times New Roman"/>
          <w:sz w:val="24"/>
          <w:szCs w:val="24"/>
        </w:rPr>
        <w:t>nin daha yüksek</w:t>
      </w:r>
      <w:r w:rsidRPr="00811FCB">
        <w:rPr>
          <w:rFonts w:ascii="Times New Roman" w:hAnsi="Times New Roman" w:cs="Times New Roman"/>
          <w:sz w:val="24"/>
          <w:szCs w:val="24"/>
        </w:rPr>
        <w:t xml:space="preserve"> olduğunu göstermiştir</w:t>
      </w:r>
      <w:r w:rsidR="007A2A7F" w:rsidRPr="00811FCB">
        <w:rPr>
          <w:rFonts w:ascii="Times New Roman" w:hAnsi="Times New Roman" w:cs="Times New Roman"/>
          <w:sz w:val="24"/>
          <w:szCs w:val="24"/>
        </w:rPr>
        <w:t xml:space="preserve"> (1.82 değerinde gözlenen düzeltilmiş göreceli risk artışı (%95 CI, 1.26-2.64))</w:t>
      </w:r>
      <w:r w:rsidRPr="00811FCB">
        <w:rPr>
          <w:rFonts w:ascii="Times New Roman" w:hAnsi="Times New Roman" w:cs="Times New Roman"/>
          <w:sz w:val="24"/>
          <w:szCs w:val="24"/>
        </w:rPr>
        <w:t xml:space="preserve">. </w:t>
      </w:r>
      <w:r w:rsidR="004C6538" w:rsidRPr="00811FCB">
        <w:rPr>
          <w:rFonts w:ascii="Times New Roman" w:hAnsi="Times New Roman" w:cs="Times New Roman"/>
          <w:sz w:val="24"/>
          <w:szCs w:val="24"/>
        </w:rPr>
        <w:t>Pazarlama sonrası veriler</w:t>
      </w:r>
      <w:r w:rsidRPr="00811FCB">
        <w:rPr>
          <w:rFonts w:ascii="Times New Roman" w:hAnsi="Times New Roman" w:cs="Times New Roman"/>
          <w:sz w:val="24"/>
          <w:szCs w:val="24"/>
        </w:rPr>
        <w:t xml:space="preserve">, geri dönüşlü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depresyon ve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halüsinasyonların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en sık olarak durumu ağır ve yaşlı hastalarda </w:t>
      </w:r>
      <w:r w:rsidR="004C6538" w:rsidRPr="00811FCB">
        <w:rPr>
          <w:rFonts w:ascii="Times New Roman" w:hAnsi="Times New Roman" w:cs="Times New Roman"/>
          <w:sz w:val="24"/>
          <w:szCs w:val="24"/>
        </w:rPr>
        <w:t>rapor edildiğini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4C6538" w:rsidRPr="00811FCB">
        <w:rPr>
          <w:rFonts w:ascii="Times New Roman" w:hAnsi="Times New Roman" w:cs="Times New Roman"/>
          <w:sz w:val="24"/>
          <w:szCs w:val="24"/>
        </w:rPr>
        <w:t>göstermektedir</w:t>
      </w:r>
      <w:r w:rsidRPr="00811FCB">
        <w:rPr>
          <w:rFonts w:ascii="Times New Roman" w:hAnsi="Times New Roman" w:cs="Times New Roman"/>
          <w:sz w:val="24"/>
          <w:szCs w:val="24"/>
        </w:rPr>
        <w:t>.</w:t>
      </w:r>
    </w:p>
    <w:p w:rsidR="00923C48" w:rsidRPr="00811FCB" w:rsidRDefault="00923C4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1A" w:rsidRPr="00811FCB" w:rsidRDefault="007863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lastRenderedPageBreak/>
        <w:t xml:space="preserve">Bu tıbbi ürün her ampulde 1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(39 mg)’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daha az potasyum ihtiva eder; bu dozda potasyuma bağlı herhangi bir yan etki beklenmemektedir.</w:t>
      </w:r>
    </w:p>
    <w:p w:rsidR="0078631A" w:rsidRPr="00811FCB" w:rsidRDefault="007863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1A" w:rsidRPr="00811FCB" w:rsidRDefault="0078631A" w:rsidP="00786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Bu tıbbi ürün her ampulde 1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(23 mg)’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daha az sodyum ihtiva eder; bu dozda </w:t>
      </w:r>
      <w:r w:rsidR="000A7B6D" w:rsidRPr="00811FCB">
        <w:rPr>
          <w:rFonts w:ascii="Times New Roman" w:hAnsi="Times New Roman" w:cs="Times New Roman"/>
          <w:sz w:val="24"/>
          <w:szCs w:val="24"/>
        </w:rPr>
        <w:t>sodyuma</w:t>
      </w:r>
      <w:r w:rsidRPr="00811FCB">
        <w:rPr>
          <w:rFonts w:ascii="Times New Roman" w:hAnsi="Times New Roman" w:cs="Times New Roman"/>
          <w:sz w:val="24"/>
          <w:szCs w:val="24"/>
        </w:rPr>
        <w:t xml:space="preserve"> bağlı herhangi bir yan etki beklenmemektedir.</w:t>
      </w:r>
    </w:p>
    <w:p w:rsidR="00CB3842" w:rsidRPr="00811FCB" w:rsidRDefault="00CB3842" w:rsidP="00786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616E59" w:rsidRPr="00811FCB" w:rsidRDefault="007863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diğer ilaçların emilimini,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biyotransformasyonunu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veya böbreklerden atılmasını etkileme potansiyeline sahiptir. Farmakokinetik özelliklerin değişmesi, etkilenen ilacın dozunun ayarlanmasını ya da tedaviye son verilmesini gerektirebilir.</w:t>
      </w:r>
    </w:p>
    <w:p w:rsidR="0078631A" w:rsidRPr="00811FCB" w:rsidRDefault="007863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1A" w:rsidRPr="00811FCB" w:rsidRDefault="007863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Etkileşimler aşağıdakileri kapsayan farklı mekanizmalar ile gerçekleşir:</w:t>
      </w:r>
    </w:p>
    <w:p w:rsidR="00ED2CF9" w:rsidRPr="00811FCB" w:rsidRDefault="0006730D" w:rsidP="00ED2CF9">
      <w:pPr>
        <w:pStyle w:val="Liste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P450-bağımlı karma fonksiyonlu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oksijenaz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sisteminin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86624A" w:rsidRPr="00811FCB">
        <w:rPr>
          <w:rFonts w:ascii="Times New Roman" w:hAnsi="Times New Roman" w:cs="Times New Roman"/>
          <w:sz w:val="24"/>
          <w:szCs w:val="24"/>
        </w:rPr>
        <w:t>olağan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dozlarında bu enzim sistemiyle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edilen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propranolol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 ilaçların etkilerini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potansiyalize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etmez.</w:t>
      </w:r>
    </w:p>
    <w:p w:rsidR="00ED2CF9" w:rsidRPr="00811FCB" w:rsidRDefault="00ED2CF9" w:rsidP="00ED2CF9">
      <w:pPr>
        <w:pStyle w:val="ListeParagra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Fentanil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karbamazepin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brinzolamid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 enzim inhibitörlerinin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birlikte kullanımı kandaki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konsantrasyonlarını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arttırır. </w:t>
      </w:r>
    </w:p>
    <w:p w:rsidR="0006730D" w:rsidRPr="00811FCB" w:rsidRDefault="0006730D" w:rsidP="0006730D">
      <w:pPr>
        <w:pStyle w:val="ListeParagra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D2CF9" w:rsidRPr="00811FCB" w:rsidRDefault="0006730D" w:rsidP="00ED2CF9">
      <w:pPr>
        <w:pStyle w:val="ListeParagra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antikoagülanları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gibi) ile değişmiş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zamanları bildirilmiştir. Dar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indeksi sebebiyle,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eş zamanlı tedavide, artmış ya da azalmış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zamanlarının yakından izlenmesi önerilir.</w:t>
      </w:r>
    </w:p>
    <w:p w:rsidR="0006730D" w:rsidRPr="00811FCB" w:rsidRDefault="0006730D" w:rsidP="0006730D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174E" w:rsidRPr="00811FCB" w:rsidRDefault="00D0174E" w:rsidP="00D0174E">
      <w:pPr>
        <w:pStyle w:val="Liste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sekresyon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için yarışma:</w:t>
      </w:r>
    </w:p>
    <w:p w:rsidR="00D0174E" w:rsidRPr="00811FCB" w:rsidRDefault="00D0174E" w:rsidP="00D0174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katyonik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sistem ile kısmi olarak elimine edildiği için, bu yoldan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itrah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edilen diğer ilaçların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klerensini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etkileyebilir.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yüksek dozları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Zollinger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tedavisinde kullanıldığı gibi)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prokainamid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N-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asetilprokainamidin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itrahını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azaltarak bu ilaçların plazma düzeylerinde yükselmeye sebep olabilir.</w:t>
      </w:r>
    </w:p>
    <w:p w:rsidR="00D0174E" w:rsidRPr="00811FCB" w:rsidRDefault="00D0174E" w:rsidP="00D01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4E" w:rsidRPr="00811FCB" w:rsidRDefault="00D0174E" w:rsidP="00D0174E">
      <w:pPr>
        <w:pStyle w:val="ListeParagraf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pH’nın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değişmesi:</w:t>
      </w:r>
    </w:p>
    <w:p w:rsidR="00D0174E" w:rsidRPr="00811FCB" w:rsidRDefault="00D0174E" w:rsidP="00D0174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Bazı ilaçların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etkilenebilir.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pH’nın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değişmesi emilimde artmaya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trizola</w:t>
      </w:r>
      <w:r w:rsidR="00A04DFA" w:rsidRPr="00811FC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glipizid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gibi) ya da</w:t>
      </w:r>
      <w:r w:rsidR="004104EE" w:rsidRPr="00811FCB">
        <w:rPr>
          <w:rFonts w:ascii="Times New Roman" w:hAnsi="Times New Roman" w:cs="Times New Roman"/>
          <w:sz w:val="24"/>
          <w:szCs w:val="24"/>
        </w:rPr>
        <w:t xml:space="preserve"> azalmaya (</w:t>
      </w:r>
      <w:proofErr w:type="spellStart"/>
      <w:r w:rsidR="004104EE" w:rsidRPr="00811FCB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="004104EE"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4EE" w:rsidRPr="00811FCB">
        <w:rPr>
          <w:rFonts w:ascii="Times New Roman" w:hAnsi="Times New Roman" w:cs="Times New Roman"/>
          <w:sz w:val="24"/>
          <w:szCs w:val="24"/>
        </w:rPr>
        <w:t>atazanav</w:t>
      </w:r>
      <w:r w:rsidRPr="00811F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delaviridin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gefitnib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gibi) neden olabilir.</w:t>
      </w:r>
      <w:r w:rsidR="00D6171B" w:rsidRPr="00811FCB">
        <w:rPr>
          <w:rFonts w:ascii="Times New Roman" w:hAnsi="Times New Roman" w:cs="Times New Roman"/>
          <w:sz w:val="24"/>
          <w:szCs w:val="24"/>
        </w:rPr>
        <w:t xml:space="preserve"> Ayrıca </w:t>
      </w:r>
      <w:proofErr w:type="spellStart"/>
      <w:r w:rsidR="00D6171B" w:rsidRPr="00811FCB">
        <w:rPr>
          <w:rFonts w:ascii="Times New Roman" w:hAnsi="Times New Roman" w:cs="Times New Roman"/>
          <w:sz w:val="24"/>
          <w:szCs w:val="24"/>
        </w:rPr>
        <w:t>sefpodoksin</w:t>
      </w:r>
      <w:proofErr w:type="spellEnd"/>
      <w:r w:rsidR="00D6171B"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71B" w:rsidRPr="00811FCB">
        <w:rPr>
          <w:rFonts w:ascii="Times New Roman" w:hAnsi="Times New Roman" w:cs="Times New Roman"/>
          <w:sz w:val="24"/>
          <w:szCs w:val="24"/>
        </w:rPr>
        <w:t>bisakodil</w:t>
      </w:r>
      <w:proofErr w:type="spellEnd"/>
      <w:r w:rsidR="00D6171B"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71B" w:rsidRPr="00811FCB">
        <w:rPr>
          <w:rFonts w:ascii="Times New Roman" w:hAnsi="Times New Roman" w:cs="Times New Roman"/>
          <w:sz w:val="24"/>
          <w:szCs w:val="24"/>
        </w:rPr>
        <w:t>ponatinib</w:t>
      </w:r>
      <w:proofErr w:type="spellEnd"/>
      <w:r w:rsidR="00D6171B"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6171B" w:rsidRPr="00811FCB">
        <w:rPr>
          <w:rFonts w:ascii="Times New Roman" w:hAnsi="Times New Roman" w:cs="Times New Roman"/>
          <w:sz w:val="24"/>
          <w:szCs w:val="24"/>
        </w:rPr>
        <w:t>nilotinibin</w:t>
      </w:r>
      <w:proofErr w:type="spellEnd"/>
      <w:r w:rsidR="00D6171B"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71B" w:rsidRPr="00811FCB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="00D6171B" w:rsidRPr="00811FCB">
        <w:rPr>
          <w:rFonts w:ascii="Times New Roman" w:hAnsi="Times New Roman" w:cs="Times New Roman"/>
          <w:sz w:val="24"/>
          <w:szCs w:val="24"/>
        </w:rPr>
        <w:t xml:space="preserve"> azaltır. </w:t>
      </w:r>
    </w:p>
    <w:p w:rsidR="00616E59" w:rsidRPr="00811FCB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CF9" w:rsidRPr="00811FCB" w:rsidRDefault="00ED2CF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lastRenderedPageBreak/>
        <w:t>Diğer etkileşimler: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Memantin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birlikte kullanımı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plasma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seviyesinde değişikliğe yol açabilir.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Aminofilin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kullanıldığında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etkileri (bulantı, kusma, çarpıntı, nöbetler) görülebilir.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Kinidin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amiodaron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metformin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domperidon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birlikte kullanıldığında kandaki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seviye artar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domperidon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birlikte kullanıldığında QT uzaması yaşanabilir.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Diltiazem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birlikte kullanıldığında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artabilir.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kombine kullanımı kandaki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seviyesini arttırabilir.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Gentamisin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kombine kullanıldığında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nöromuskuler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blokaj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yaşanabilir. </w:t>
      </w:r>
    </w:p>
    <w:p w:rsidR="00D6171B" w:rsidRPr="00811FCB" w:rsidRDefault="00D6171B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depolarize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kas gevşeticilerin etkisi azaltır.</w:t>
      </w:r>
    </w:p>
    <w:p w:rsidR="00D6171B" w:rsidRPr="00811FCB" w:rsidRDefault="00D6171B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Aspirin ile birlikte kullanıldığında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salisilate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plazma seviyesi düşer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antiplatelet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etkisi azalır.</w:t>
      </w:r>
    </w:p>
    <w:p w:rsidR="00D6171B" w:rsidRPr="00811FCB" w:rsidRDefault="00D6171B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Atropinin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azaltır.</w:t>
      </w:r>
    </w:p>
    <w:p w:rsidR="00D6171B" w:rsidRPr="00811FCB" w:rsidRDefault="00D6171B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Dasatinib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enoksasin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fosamprenavir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sefditoren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itrokonazol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triamteren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vismodegib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erlotinib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demir sülfat,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siyanokobalamin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okzaproksin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ile kullanıldığında </w:t>
      </w:r>
      <w:r w:rsidR="0011455D" w:rsidRPr="00811FCB">
        <w:rPr>
          <w:rFonts w:ascii="Times New Roman" w:hAnsi="Times New Roman" w:cs="Times New Roman"/>
          <w:sz w:val="24"/>
          <w:szCs w:val="24"/>
        </w:rPr>
        <w:t xml:space="preserve">bu ilaçların etkisi azalır. </w:t>
      </w:r>
    </w:p>
    <w:p w:rsidR="00ED2CF9" w:rsidRPr="00811FCB" w:rsidRDefault="00ED2CF9" w:rsidP="00ED2CF9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Alkol ile kullanılmamalıdır.</w:t>
      </w:r>
    </w:p>
    <w:p w:rsidR="00ED2CF9" w:rsidRPr="00811FCB" w:rsidRDefault="00ED2CF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811FC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Gebelik kategorisi: B</w:t>
      </w:r>
    </w:p>
    <w:p w:rsidR="00BE6FEB" w:rsidRPr="00811FC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>)</w:t>
      </w:r>
    </w:p>
    <w:p w:rsidR="00616E59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Çocuk doğurma potansiyeli bulunan kadınlarda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kullanımıyla ilgili herhangi bir veri yoktur. RANİTAB kullanımı sırasında gebe kalma ihtimali bulunan hastaların doktorlarını bilgilendirmeleri ve gerekirse uygun bir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yöntemini kullanmaları uygundur.</w:t>
      </w:r>
    </w:p>
    <w:p w:rsidR="00D1561D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plasentadan geçer ancak doğum sürecinde ya da sezaryen operasyonuna girecek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hastalara uygul</w:t>
      </w:r>
      <w:r w:rsidR="00CE06DA" w:rsidRPr="00811FCB">
        <w:rPr>
          <w:rFonts w:ascii="Times New Roman" w:hAnsi="Times New Roman" w:cs="Times New Roman"/>
          <w:sz w:val="24"/>
          <w:szCs w:val="24"/>
        </w:rPr>
        <w:t>a</w:t>
      </w:r>
      <w:r w:rsidRPr="00811FCB">
        <w:rPr>
          <w:rFonts w:ascii="Times New Roman" w:hAnsi="Times New Roman" w:cs="Times New Roman"/>
          <w:sz w:val="24"/>
          <w:szCs w:val="24"/>
        </w:rPr>
        <w:t xml:space="preserve">nan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dozlar ile doğum sürecinde, doğurma esnasında ya da takip eden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süreçte herhangi bir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etki oluşmamıştır. Diğer ilaçlar gibi, RANİTAB sadece zorunlu olduğunda gebelik döneminde kullanılmalıdır.</w:t>
      </w:r>
    </w:p>
    <w:p w:rsidR="00B75BAF" w:rsidRDefault="00B75BA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59E" w:rsidRPr="00811FCB" w:rsidRDefault="00BC459E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11FC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lastRenderedPageBreak/>
        <w:t>Laktasyon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anne sütü ile atılmaktadır. Diğer ilaçlar gibi, RANİTAB sadece zorunlu olduğunda emzirme döneminde kullanılmalıdır.</w:t>
      </w:r>
    </w:p>
    <w:p w:rsidR="00D1561D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16E59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Sıçanlar ve tavşanlar üzerinde, insanlara uygulanan oral dozun 160 katına kadar oral dozlar uygulanarak gerçekleştirilen üreme çalışmaları,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bağlı olarak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fertilitede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bozulmaya ya da fetüste herhangi bir zarara neden olmamıştır. Bununla birlikte hamile kadınlarda gerçekleştirilmiş yeterli ve iyi kontrol edilmiş çalışmalar yoktur.</w:t>
      </w:r>
    </w:p>
    <w:p w:rsidR="00D1561D" w:rsidRPr="00811FCB" w:rsidRDefault="00D1561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Pr="00811FCB" w:rsidRDefault="00B3232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Araç ve makine kullanımı üzerinde bilinen bir etkisi yoktur.</w:t>
      </w:r>
    </w:p>
    <w:p w:rsidR="00B32322" w:rsidRPr="00811FCB" w:rsidRDefault="00B3232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616E59" w:rsidRPr="00811FCB" w:rsidRDefault="00C845F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Pazarlama sonrası verilerden elde edilen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raporlara göre </w:t>
      </w:r>
      <w:r w:rsidR="00D1030D" w:rsidRPr="00811FCB">
        <w:rPr>
          <w:rFonts w:ascii="Times New Roman" w:hAnsi="Times New Roman" w:cs="Times New Roman"/>
          <w:sz w:val="24"/>
          <w:szCs w:val="24"/>
        </w:rPr>
        <w:t xml:space="preserve">tahmini olarak hesaplanan </w:t>
      </w:r>
      <w:proofErr w:type="spellStart"/>
      <w:r w:rsidR="00D1030D" w:rsidRPr="00811FCB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D1030D" w:rsidRPr="00811FCB">
        <w:rPr>
          <w:rFonts w:ascii="Times New Roman" w:hAnsi="Times New Roman" w:cs="Times New Roman"/>
          <w:sz w:val="24"/>
          <w:szCs w:val="24"/>
        </w:rPr>
        <w:t xml:space="preserve"> etkiler aşağıdaki sıklık derecelerine göre sıralandırılmıştır:</w:t>
      </w:r>
    </w:p>
    <w:p w:rsidR="00D1030D" w:rsidRPr="00811FCB" w:rsidRDefault="00D1030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yaygın (≥1/10); yaygın (≥1/100 ile &lt;1/10); yaygın olmayan (≥1/1.000 ila &lt;1/100); seyrek (≥1/10.000 ila &lt;1/1.000); çok seyrek (&lt;1/10.000); bilinmiyor (eldeki verilerden </w:t>
      </w:r>
      <w:r w:rsidR="00D43A7E" w:rsidRPr="00811FCB">
        <w:rPr>
          <w:rFonts w:ascii="Times New Roman" w:hAnsi="Times New Roman" w:cs="Times New Roman"/>
          <w:sz w:val="24"/>
          <w:szCs w:val="24"/>
        </w:rPr>
        <w:t>hareketle tahmin edilemiyor)</w:t>
      </w:r>
    </w:p>
    <w:p w:rsidR="001A7A48" w:rsidRPr="00811FCB" w:rsidRDefault="001A7A4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7E" w:rsidRPr="00811FCB" w:rsidRDefault="00D43A7E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Kan ve lenf sistemi </w:t>
      </w:r>
      <w:r w:rsidR="0007639A" w:rsidRPr="00811FCB">
        <w:rPr>
          <w:rFonts w:ascii="Times New Roman" w:hAnsi="Times New Roman" w:cs="Times New Roman"/>
          <w:b/>
          <w:sz w:val="24"/>
          <w:szCs w:val="24"/>
        </w:rPr>
        <w:t>hastalıkları</w:t>
      </w:r>
      <w:r w:rsidRPr="00811FCB">
        <w:rPr>
          <w:rFonts w:ascii="Times New Roman" w:hAnsi="Times New Roman" w:cs="Times New Roman"/>
          <w:b/>
          <w:sz w:val="24"/>
          <w:szCs w:val="24"/>
        </w:rPr>
        <w:t>:</w:t>
      </w:r>
    </w:p>
    <w:p w:rsidR="00D43A7E" w:rsidRPr="00811FCB" w:rsidRDefault="00D43A7E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Çok seyrek:</w:t>
      </w:r>
      <w:r w:rsidR="006E3A51" w:rsidRPr="00811FCB">
        <w:rPr>
          <w:rFonts w:ascii="Times New Roman" w:hAnsi="Times New Roman" w:cs="Times New Roman"/>
          <w:sz w:val="24"/>
          <w:szCs w:val="24"/>
        </w:rPr>
        <w:tab/>
      </w:r>
      <w:r w:rsidR="00D936D7" w:rsidRPr="00811FCB">
        <w:rPr>
          <w:rFonts w:ascii="Times New Roman" w:hAnsi="Times New Roman" w:cs="Times New Roman"/>
          <w:sz w:val="24"/>
          <w:szCs w:val="24"/>
        </w:rPr>
        <w:t>Kan sayımı değişiklikleri (</w:t>
      </w:r>
      <w:proofErr w:type="spellStart"/>
      <w:r w:rsidR="00D936D7" w:rsidRPr="00811FCB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="00D936D7"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6D7" w:rsidRPr="00811FCB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="009B1ABB" w:rsidRPr="00811FCB">
        <w:rPr>
          <w:rFonts w:ascii="Times New Roman" w:hAnsi="Times New Roman" w:cs="Times New Roman"/>
          <w:sz w:val="24"/>
          <w:szCs w:val="24"/>
        </w:rPr>
        <w:t>)</w:t>
      </w:r>
      <w:r w:rsidR="00D936D7" w:rsidRPr="00811FCB">
        <w:rPr>
          <w:rFonts w:ascii="Times New Roman" w:hAnsi="Times New Roman" w:cs="Times New Roman"/>
          <w:sz w:val="24"/>
          <w:szCs w:val="24"/>
        </w:rPr>
        <w:t xml:space="preserve">. Bunlar genellikle geri dönüşlüdür. </w:t>
      </w:r>
      <w:proofErr w:type="spellStart"/>
      <w:r w:rsidR="00D936D7" w:rsidRPr="00811FCB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="00D936D7" w:rsidRPr="00811FCB">
        <w:rPr>
          <w:rFonts w:ascii="Times New Roman" w:hAnsi="Times New Roman" w:cs="Times New Roman"/>
          <w:sz w:val="24"/>
          <w:szCs w:val="24"/>
        </w:rPr>
        <w:t xml:space="preserve"> veya bazen kemik iliği </w:t>
      </w:r>
      <w:proofErr w:type="spellStart"/>
      <w:r w:rsidR="00D936D7" w:rsidRPr="00811FCB">
        <w:rPr>
          <w:rFonts w:ascii="Times New Roman" w:hAnsi="Times New Roman" w:cs="Times New Roman"/>
          <w:sz w:val="24"/>
          <w:szCs w:val="24"/>
        </w:rPr>
        <w:t>hipoplazisi</w:t>
      </w:r>
      <w:proofErr w:type="spellEnd"/>
      <w:r w:rsidR="00D936D7" w:rsidRPr="00811FC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D936D7" w:rsidRPr="00811FCB">
        <w:rPr>
          <w:rFonts w:ascii="Times New Roman" w:hAnsi="Times New Roman" w:cs="Times New Roman"/>
          <w:sz w:val="24"/>
          <w:szCs w:val="24"/>
        </w:rPr>
        <w:t>aplazisi</w:t>
      </w:r>
      <w:proofErr w:type="spellEnd"/>
      <w:r w:rsidR="00D936D7" w:rsidRPr="00811FCB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="00D936D7" w:rsidRPr="00811FCB">
        <w:rPr>
          <w:rFonts w:ascii="Times New Roman" w:hAnsi="Times New Roman" w:cs="Times New Roman"/>
          <w:sz w:val="24"/>
          <w:szCs w:val="24"/>
        </w:rPr>
        <w:t>pansitopeni</w:t>
      </w:r>
      <w:proofErr w:type="spellEnd"/>
      <w:r w:rsidR="00D936D7" w:rsidRPr="00811FCB">
        <w:rPr>
          <w:rFonts w:ascii="Times New Roman" w:hAnsi="Times New Roman" w:cs="Times New Roman"/>
          <w:sz w:val="24"/>
          <w:szCs w:val="24"/>
        </w:rPr>
        <w:t>.</w:t>
      </w:r>
    </w:p>
    <w:p w:rsidR="00D936D7" w:rsidRPr="00811FCB" w:rsidRDefault="00D936D7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Bağışıklık sistemi </w:t>
      </w:r>
      <w:r w:rsidR="0007639A"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D936D7" w:rsidRPr="00811FCB" w:rsidRDefault="00D936D7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Seyrek: </w:t>
      </w:r>
      <w:r w:rsidR="006E3A51" w:rsidRPr="0081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reaksiyonları (ürtiker,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ödem, ateş,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, hipotansiyon, göğüs ağrısı)</w:t>
      </w:r>
    </w:p>
    <w:p w:rsidR="00D936D7" w:rsidRPr="00811FCB" w:rsidRDefault="00D936D7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6E3A51" w:rsidRPr="0081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şok</w:t>
      </w:r>
    </w:p>
    <w:p w:rsidR="00D936D7" w:rsidRPr="00811FCB" w:rsidRDefault="00D936D7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Bu</w:t>
      </w:r>
      <w:r w:rsidR="00120C68" w:rsidRPr="00811FCB">
        <w:rPr>
          <w:rFonts w:ascii="Times New Roman" w:hAnsi="Times New Roman" w:cs="Times New Roman"/>
          <w:sz w:val="24"/>
          <w:szCs w:val="24"/>
        </w:rPr>
        <w:t>n</w:t>
      </w:r>
      <w:r w:rsidRPr="00811FCB">
        <w:rPr>
          <w:rFonts w:ascii="Times New Roman" w:hAnsi="Times New Roman" w:cs="Times New Roman"/>
          <w:sz w:val="24"/>
          <w:szCs w:val="24"/>
        </w:rPr>
        <w:t>lar tek doz uygulamadan sonra bildirilmiştir.</w:t>
      </w:r>
    </w:p>
    <w:p w:rsidR="00120C68" w:rsidRPr="00811FCB" w:rsidRDefault="00120C68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Psikiyatrik </w:t>
      </w:r>
      <w:r w:rsidR="0007639A" w:rsidRPr="00811FCB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120C68" w:rsidRPr="00811FCB" w:rsidRDefault="00120C68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6E3A51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 xml:space="preserve">Geri dönüşlü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depresyon,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ve halüsinasyonlar</w:t>
      </w:r>
    </w:p>
    <w:p w:rsidR="00120C68" w:rsidRPr="00811FCB" w:rsidRDefault="00120C68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Bunlar, genelde durumu ağır ve yaşlı hastalarda bildirilmiştir.</w:t>
      </w:r>
    </w:p>
    <w:p w:rsidR="00BC459E" w:rsidRDefault="00BC459E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59E" w:rsidRDefault="00BC459E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68" w:rsidRPr="00811FCB" w:rsidRDefault="00120C68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Sinir sistemi </w:t>
      </w:r>
      <w:r w:rsidR="0007639A"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120C68" w:rsidRPr="00811FCB" w:rsidRDefault="00120C68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6E3A51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Baş ağrısı (bazen şiddetli), sersemlik hali, geri dönüşlü istemsiz hareket bozuklukları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Göz </w:t>
      </w:r>
      <w:r w:rsidR="0007639A"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6E3A51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Geri dönüşlü bulanık görme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Akomodasyonda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bir değişikliğe işaret eden bulanık görme vakaları bildirilmiştir.</w:t>
      </w:r>
    </w:p>
    <w:p w:rsidR="008479FC" w:rsidRPr="00811FCB" w:rsidRDefault="0007639A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Kar</w:t>
      </w:r>
      <w:r w:rsidR="008479FC" w:rsidRPr="00811FCB">
        <w:rPr>
          <w:rFonts w:ascii="Times New Roman" w:hAnsi="Times New Roman" w:cs="Times New Roman"/>
          <w:b/>
          <w:sz w:val="24"/>
          <w:szCs w:val="24"/>
        </w:rPr>
        <w:t xml:space="preserve">diyak </w:t>
      </w:r>
      <w:r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="000B6420" w:rsidRPr="00811FCB">
        <w:rPr>
          <w:rFonts w:ascii="Times New Roman" w:hAnsi="Times New Roman" w:cs="Times New Roman"/>
          <w:sz w:val="24"/>
          <w:szCs w:val="24"/>
        </w:rPr>
        <w:t>Diğer H</w:t>
      </w:r>
      <w:r w:rsidR="000B6420" w:rsidRPr="00811F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6420" w:rsidRPr="00811FCB"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 w:rsidR="000B6420" w:rsidRPr="00811FCB">
        <w:rPr>
          <w:rFonts w:ascii="Times New Roman" w:hAnsi="Times New Roman" w:cs="Times New Roman"/>
          <w:sz w:val="24"/>
          <w:szCs w:val="24"/>
        </w:rPr>
        <w:t>antagonistlerindeki</w:t>
      </w:r>
      <w:proofErr w:type="gramEnd"/>
      <w:r w:rsidR="000B6420" w:rsidRPr="00811FCB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="000B6420" w:rsidRPr="00811FCB">
        <w:rPr>
          <w:rFonts w:ascii="Times New Roman" w:hAnsi="Times New Roman" w:cs="Times New Roman"/>
          <w:sz w:val="24"/>
          <w:szCs w:val="24"/>
        </w:rPr>
        <w:t>b</w:t>
      </w:r>
      <w:r w:rsidRPr="00811FCB">
        <w:rPr>
          <w:rFonts w:ascii="Times New Roman" w:hAnsi="Times New Roman" w:cs="Times New Roman"/>
          <w:sz w:val="24"/>
          <w:szCs w:val="24"/>
        </w:rPr>
        <w:t>radikardi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AV blok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asistoli</w:t>
      </w:r>
      <w:proofErr w:type="spellEnd"/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Vasküler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221" w:rsidRPr="00811FCB">
        <w:rPr>
          <w:rFonts w:ascii="Times New Roman" w:hAnsi="Times New Roman" w:cs="Times New Roman"/>
          <w:b/>
          <w:sz w:val="24"/>
          <w:szCs w:val="24"/>
        </w:rPr>
        <w:t>hastalıklar</w:t>
      </w:r>
      <w:r w:rsidR="0007639A" w:rsidRPr="00811FCB">
        <w:rPr>
          <w:rFonts w:ascii="Times New Roman" w:hAnsi="Times New Roman" w:cs="Times New Roman"/>
          <w:b/>
          <w:sz w:val="24"/>
          <w:szCs w:val="24"/>
        </w:rPr>
        <w:t>: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Vaskülit</w:t>
      </w:r>
      <w:proofErr w:type="spellEnd"/>
    </w:p>
    <w:p w:rsidR="00F96221" w:rsidRPr="00811FCB" w:rsidRDefault="008479FC" w:rsidP="00F96221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221" w:rsidRPr="00811FCB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ağrı,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, bulantı (</w:t>
      </w:r>
      <w:r w:rsidR="000B6420" w:rsidRPr="00811FCB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="000B6420" w:rsidRPr="00811FCB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0B6420"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1E5A23" w:rsidRPr="00811FCB">
        <w:rPr>
          <w:rFonts w:ascii="Times New Roman" w:hAnsi="Times New Roman" w:cs="Times New Roman"/>
          <w:sz w:val="24"/>
          <w:szCs w:val="24"/>
        </w:rPr>
        <w:t xml:space="preserve">tedavi sürecinde </w:t>
      </w:r>
      <w:r w:rsidR="004868B9" w:rsidRPr="00811FCB">
        <w:rPr>
          <w:rFonts w:ascii="Times New Roman" w:hAnsi="Times New Roman" w:cs="Times New Roman"/>
          <w:sz w:val="24"/>
          <w:szCs w:val="24"/>
        </w:rPr>
        <w:t xml:space="preserve">genellikle </w:t>
      </w:r>
      <w:r w:rsidR="001E5A23" w:rsidRPr="00811FCB">
        <w:rPr>
          <w:rFonts w:ascii="Times New Roman" w:hAnsi="Times New Roman" w:cs="Times New Roman"/>
          <w:sz w:val="24"/>
          <w:szCs w:val="24"/>
        </w:rPr>
        <w:t>iyileşmiştir</w:t>
      </w:r>
      <w:r w:rsidRPr="00811FCB">
        <w:rPr>
          <w:rFonts w:ascii="Times New Roman" w:hAnsi="Times New Roman" w:cs="Times New Roman"/>
          <w:sz w:val="24"/>
          <w:szCs w:val="24"/>
        </w:rPr>
        <w:t>)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pankreatit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b/>
          <w:sz w:val="24"/>
          <w:szCs w:val="24"/>
        </w:rPr>
        <w:t>Hepatobiliyer</w:t>
      </w:r>
      <w:proofErr w:type="spell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221" w:rsidRPr="00811FCB">
        <w:rPr>
          <w:rFonts w:ascii="Times New Roman" w:hAnsi="Times New Roman" w:cs="Times New Roman"/>
          <w:b/>
          <w:sz w:val="24"/>
          <w:szCs w:val="24"/>
        </w:rPr>
        <w:t>hastalıklar: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Karaciğer fonksiyon testlerinde geçici ve geri dönüşlü değişiklikler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Genellikle geri dönüşlü olan, sarılık ile birlikte veya sarılık olmaksızın hepatit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hepatokanaliküler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veya karma)</w:t>
      </w:r>
    </w:p>
    <w:p w:rsidR="008479FC" w:rsidRPr="00811FCB" w:rsidRDefault="008479FC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Deri ve deri altı doku </w:t>
      </w:r>
      <w:r w:rsidR="00F96221"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8479FC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>Deri döküntüsü</w:t>
      </w:r>
    </w:p>
    <w:p w:rsidR="001A7A48" w:rsidRPr="00811FCB" w:rsidRDefault="001200E1" w:rsidP="0011455D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alopesi</w:t>
      </w:r>
      <w:proofErr w:type="spellEnd"/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Kas-iskelet bozuklukları, bağ doku ve kemik hastalıkları:</w:t>
      </w:r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miyalji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 kas-iskelet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semptomları</w:t>
      </w:r>
      <w:proofErr w:type="gramEnd"/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Böbrek ve idrar </w:t>
      </w:r>
      <w:r w:rsidR="00F96221"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 xml:space="preserve">Plazma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kreatinininde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yükselme (Genellikle önemsiz ve tedavi sürecinde normalleşen)</w:t>
      </w:r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intersitisyel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nefrit</w:t>
      </w:r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Üreme sistemi ve meme </w:t>
      </w:r>
      <w:r w:rsidR="00F96221" w:rsidRPr="00811FCB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1200E1" w:rsidRPr="00811FCB" w:rsidRDefault="001200E1" w:rsidP="0039667E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39667E" w:rsidRPr="00811FCB">
        <w:rPr>
          <w:rFonts w:ascii="Times New Roman" w:hAnsi="Times New Roman" w:cs="Times New Roman"/>
          <w:sz w:val="24"/>
          <w:szCs w:val="24"/>
        </w:rPr>
        <w:tab/>
      </w:r>
      <w:r w:rsidRPr="00811FCB">
        <w:rPr>
          <w:rFonts w:ascii="Times New Roman" w:hAnsi="Times New Roman" w:cs="Times New Roman"/>
          <w:sz w:val="24"/>
          <w:szCs w:val="24"/>
        </w:rPr>
        <w:t xml:space="preserve">Geri dönüşlü </w:t>
      </w:r>
      <w:proofErr w:type="spellStart"/>
      <w:r w:rsidR="00E45807" w:rsidRPr="00811FCB">
        <w:rPr>
          <w:rFonts w:ascii="Times New Roman" w:hAnsi="Times New Roman" w:cs="Times New Roman"/>
          <w:sz w:val="24"/>
          <w:szCs w:val="24"/>
        </w:rPr>
        <w:t>impotans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meme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ve hastalıkları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galaktore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gibi)</w:t>
      </w:r>
    </w:p>
    <w:p w:rsidR="0011455D" w:rsidRDefault="001145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E" w:rsidRDefault="00BC459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E" w:rsidRDefault="00BC459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9E" w:rsidRPr="00811FCB" w:rsidRDefault="00BC459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07" w:rsidRPr="00811FCB" w:rsidRDefault="00E45807" w:rsidP="00E45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Özel </w:t>
      </w:r>
      <w:proofErr w:type="gramStart"/>
      <w:r w:rsidRPr="00811FCB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811FCB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E45807" w:rsidRPr="00811FCB" w:rsidRDefault="00E45807" w:rsidP="00E45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811FCB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11FCB">
        <w:rPr>
          <w:rFonts w:ascii="Times New Roman" w:hAnsi="Times New Roman" w:cs="Times New Roman"/>
          <w:b/>
          <w:sz w:val="24"/>
          <w:szCs w:val="24"/>
        </w:rPr>
        <w:t>:</w:t>
      </w:r>
    </w:p>
    <w:p w:rsidR="001200E1" w:rsidRPr="00811FCB" w:rsidRDefault="001200E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güvenliliği 0-16 yaş arası çocuklarda asit bağlantılı hastalıklar yönünden değerlendirilmiş ve erişkinlerdekine benzer bir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olay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sunarak genel olarak iyi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edildiği görülmüştür. Özellikle büyüme ve gelişme ile ilgili mevcut uzun dönem güvenlilik verileri sınırlıdır.</w:t>
      </w:r>
    </w:p>
    <w:p w:rsidR="00DE07F0" w:rsidRPr="00811FCB" w:rsidRDefault="00DE07F0" w:rsidP="00DE0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7F0" w:rsidRPr="00DE07F0" w:rsidRDefault="00DE07F0" w:rsidP="00DE07F0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4F81BD" w:themeColor="accent1"/>
          <w:sz w:val="24"/>
          <w:szCs w:val="24"/>
          <w:u w:val="single"/>
          <w:lang w:eastAsia="nl-NL"/>
        </w:rPr>
      </w:pPr>
      <w:r w:rsidRPr="00DE07F0">
        <w:rPr>
          <w:rFonts w:ascii="Times New Roman" w:hAnsi="Times New Roman"/>
          <w:color w:val="4F81BD" w:themeColor="accent1"/>
          <w:sz w:val="24"/>
          <w:szCs w:val="24"/>
          <w:u w:val="single"/>
          <w:lang w:eastAsia="nl-NL"/>
        </w:rPr>
        <w:t xml:space="preserve">Şüpheli 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u w:val="single"/>
          <w:lang w:eastAsia="nl-NL"/>
        </w:rPr>
        <w:t>advers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u w:val="single"/>
          <w:lang w:eastAsia="nl-NL"/>
        </w:rPr>
        <w:t xml:space="preserve"> reaksiyonların raporlanması</w:t>
      </w:r>
    </w:p>
    <w:p w:rsidR="00DE07F0" w:rsidRPr="00DE07F0" w:rsidRDefault="00DE07F0" w:rsidP="00DE07F0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eastAsia="nl-NL"/>
        </w:rPr>
      </w:pP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Ruhsatlandırma sonrası şüpheli ilaç 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advers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advers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reaksiyonu Türkiye 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Farmakovijilans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Merkezi (TÜFAM)'ne bildirmeleri gerekmektedir. (www.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titck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.gov.tr; e-posta: 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tufam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@</w:t>
      </w:r>
      <w:proofErr w:type="spellStart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titck</w:t>
      </w:r>
      <w:proofErr w:type="spellEnd"/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.gov.tr; tel: 0</w:t>
      </w:r>
      <w:r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</w:t>
      </w: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800 314 00</w:t>
      </w:r>
      <w:r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</w:t>
      </w: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08; faks: 0</w:t>
      </w:r>
      <w:r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</w:t>
      </w: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312</w:t>
      </w:r>
      <w:r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</w:t>
      </w: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218</w:t>
      </w:r>
      <w:r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</w:t>
      </w: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35</w:t>
      </w:r>
      <w:r>
        <w:rPr>
          <w:rFonts w:ascii="Times New Roman" w:hAnsi="Times New Roman"/>
          <w:color w:val="4F81BD" w:themeColor="accent1"/>
          <w:sz w:val="24"/>
          <w:szCs w:val="24"/>
          <w:lang w:eastAsia="nl-NL"/>
        </w:rPr>
        <w:t xml:space="preserve"> </w:t>
      </w:r>
      <w:r w:rsidRPr="00DE07F0">
        <w:rPr>
          <w:rFonts w:ascii="Times New Roman" w:hAnsi="Times New Roman"/>
          <w:color w:val="4F81BD" w:themeColor="accent1"/>
          <w:sz w:val="24"/>
          <w:szCs w:val="24"/>
          <w:lang w:eastAsia="nl-NL"/>
        </w:rPr>
        <w:t>99)</w:t>
      </w:r>
    </w:p>
    <w:p w:rsidR="00120C68" w:rsidRPr="00811FCB" w:rsidRDefault="00120C6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11FC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1F1192" w:rsidRPr="00811FCB" w:rsidRDefault="00AF607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kullanımıyla ilgili doz aşımı deneyimi bulunmamaktadır ve oral dozlarıyla ilgili doz aşımı deneyimi sınırlıdır. </w:t>
      </w:r>
      <w:r w:rsidR="00FA2AFD" w:rsidRPr="00811FCB">
        <w:rPr>
          <w:rFonts w:ascii="Times New Roman" w:hAnsi="Times New Roman" w:cs="Times New Roman"/>
          <w:sz w:val="24"/>
          <w:szCs w:val="24"/>
        </w:rPr>
        <w:t xml:space="preserve">Oral 18 g dozuna kadar zehirlenmelerde belirlenen akut </w:t>
      </w:r>
      <w:proofErr w:type="spellStart"/>
      <w:r w:rsidR="008F2768" w:rsidRPr="00811FCB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FA2AFD" w:rsidRPr="00811FCB">
        <w:rPr>
          <w:rFonts w:ascii="Times New Roman" w:hAnsi="Times New Roman" w:cs="Times New Roman"/>
          <w:sz w:val="24"/>
          <w:szCs w:val="24"/>
        </w:rPr>
        <w:t xml:space="preserve"> etkiler, klinik çalışmalarda gözlenen etkilerle aynıdır</w:t>
      </w:r>
      <w:r w:rsidRPr="00811FCB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). Ek olarak, </w:t>
      </w:r>
      <w:r w:rsidR="001F1192" w:rsidRPr="00811FCB">
        <w:rPr>
          <w:rFonts w:ascii="Times New Roman" w:hAnsi="Times New Roman" w:cs="Times New Roman"/>
          <w:sz w:val="24"/>
          <w:szCs w:val="24"/>
        </w:rPr>
        <w:t>yürüyüş bozuklukları ve hipotansiyon rapor edilmiştir.</w:t>
      </w:r>
    </w:p>
    <w:p w:rsidR="001F1192" w:rsidRPr="00811FCB" w:rsidRDefault="001F119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FA2AF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Doz aşımı durumunda hasta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monitorize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edilmeli ve destek tedavisi uygulanmalıdır. Köpeklerde yapılan doz aşımı çalışmalarında 225 mg/kg/gün dozunun kas tremorları, kusma ve hızlı solumaya neden olduğu gözlenmiştir. </w:t>
      </w:r>
      <w:r w:rsidR="001F1192" w:rsidRPr="00811FCB">
        <w:rPr>
          <w:rFonts w:ascii="Times New Roman" w:hAnsi="Times New Roman" w:cs="Times New Roman"/>
          <w:sz w:val="24"/>
          <w:szCs w:val="24"/>
        </w:rPr>
        <w:t xml:space="preserve">Fare ve sıçanlarda 1000 mg/kg oral tek doz </w:t>
      </w:r>
      <w:proofErr w:type="spellStart"/>
      <w:r w:rsidR="001F1192" w:rsidRPr="00811FCB">
        <w:rPr>
          <w:rFonts w:ascii="Times New Roman" w:hAnsi="Times New Roman" w:cs="Times New Roman"/>
          <w:sz w:val="24"/>
          <w:szCs w:val="24"/>
        </w:rPr>
        <w:t>letal</w:t>
      </w:r>
      <w:proofErr w:type="spellEnd"/>
      <w:r w:rsidR="001F1192" w:rsidRPr="00811FCB">
        <w:rPr>
          <w:rFonts w:ascii="Times New Roman" w:hAnsi="Times New Roman" w:cs="Times New Roman"/>
          <w:sz w:val="24"/>
          <w:szCs w:val="24"/>
        </w:rPr>
        <w:t xml:space="preserve"> olmamıştır. </w:t>
      </w:r>
      <w:r w:rsidRPr="00811FCB">
        <w:rPr>
          <w:rFonts w:ascii="Times New Roman" w:hAnsi="Times New Roman" w:cs="Times New Roman"/>
          <w:sz w:val="24"/>
          <w:szCs w:val="24"/>
        </w:rPr>
        <w:t>Farelerde ve sıçanlarda intravenöz LD</w:t>
      </w:r>
      <w:r w:rsidRPr="00811FCB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811FCB">
        <w:rPr>
          <w:rFonts w:ascii="Times New Roman" w:hAnsi="Times New Roman" w:cs="Times New Roman"/>
          <w:sz w:val="24"/>
          <w:szCs w:val="24"/>
        </w:rPr>
        <w:t xml:space="preserve"> değerleri sırasıyla 77 ve 83 mg/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kg’dır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.</w:t>
      </w:r>
    </w:p>
    <w:p w:rsidR="00FA2AFD" w:rsidRPr="00811FCB" w:rsidRDefault="00FA2AF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616E59" w:rsidRPr="00811FCB" w:rsidRDefault="004B7AC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grup: H</w:t>
      </w:r>
      <w:r w:rsidRPr="00811F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1FCB">
        <w:rPr>
          <w:rFonts w:ascii="Times New Roman" w:hAnsi="Times New Roman" w:cs="Times New Roman"/>
          <w:sz w:val="24"/>
          <w:szCs w:val="24"/>
        </w:rPr>
        <w:t>-Reseptör Antagonistleri</w:t>
      </w:r>
    </w:p>
    <w:p w:rsidR="004B7AC5" w:rsidRPr="00811FCB" w:rsidRDefault="004B7AC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ATC kodu: A02BA02</w:t>
      </w:r>
    </w:p>
    <w:p w:rsidR="004B7AC5" w:rsidRPr="00811FCB" w:rsidRDefault="004B7AC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C5" w:rsidRPr="00811FCB" w:rsidRDefault="004B7AC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, hızla etki gösteren bir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</w:t>
      </w:r>
      <w:r w:rsidRPr="00811F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1FCB">
        <w:rPr>
          <w:rFonts w:ascii="Times New Roman" w:hAnsi="Times New Roman" w:cs="Times New Roman"/>
          <w:sz w:val="24"/>
          <w:szCs w:val="24"/>
        </w:rPr>
        <w:t xml:space="preserve">-reseptör antagonistidir. Bazal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stimüle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asit salgısını, salgının hem hacmini hem de asit ve pepsin içeriğini azaltarak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4B7AC5" w:rsidRPr="00811FCB" w:rsidRDefault="004B7AC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AC5" w:rsidRPr="00811FCB" w:rsidRDefault="004B7AC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lastRenderedPageBreak/>
        <w:t xml:space="preserve">Mevcut klinik veriler, çocuklarda stres ülserlerini önlemek için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kullanımın</w:t>
      </w:r>
      <w:r w:rsidR="00BF1708" w:rsidRPr="00811FCB">
        <w:rPr>
          <w:rFonts w:ascii="Times New Roman" w:hAnsi="Times New Roman" w:cs="Times New Roman"/>
          <w:sz w:val="24"/>
          <w:szCs w:val="24"/>
        </w:rPr>
        <w:t>a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BF1708" w:rsidRPr="00811FCB">
        <w:rPr>
          <w:rFonts w:ascii="Times New Roman" w:hAnsi="Times New Roman" w:cs="Times New Roman"/>
          <w:sz w:val="24"/>
          <w:szCs w:val="24"/>
        </w:rPr>
        <w:t>değinmektedir</w:t>
      </w:r>
      <w:r w:rsidRPr="00811FCB">
        <w:rPr>
          <w:rFonts w:ascii="Times New Roman" w:hAnsi="Times New Roman" w:cs="Times New Roman"/>
          <w:sz w:val="24"/>
          <w:szCs w:val="24"/>
        </w:rPr>
        <w:t xml:space="preserve">. Stres ülserlerinin önlenmesi hakkında direk kanıt bulunmamaktadır. Bu hastaların tedavisi,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787E68" w:rsidRPr="00811FCB">
        <w:rPr>
          <w:rFonts w:ascii="Times New Roman" w:hAnsi="Times New Roman" w:cs="Times New Roman"/>
          <w:sz w:val="24"/>
          <w:szCs w:val="24"/>
        </w:rPr>
        <w:t xml:space="preserve">uygulamasından sonra </w:t>
      </w:r>
      <w:proofErr w:type="spellStart"/>
      <w:r w:rsidR="00787E68" w:rsidRPr="00811FCB">
        <w:rPr>
          <w:rFonts w:ascii="Times New Roman" w:hAnsi="Times New Roman" w:cs="Times New Roman"/>
          <w:sz w:val="24"/>
          <w:szCs w:val="24"/>
        </w:rPr>
        <w:t>pH’nın</w:t>
      </w:r>
      <w:proofErr w:type="spellEnd"/>
      <w:r w:rsidR="00787E68" w:rsidRPr="00811FCB">
        <w:rPr>
          <w:rFonts w:ascii="Times New Roman" w:hAnsi="Times New Roman" w:cs="Times New Roman"/>
          <w:sz w:val="24"/>
          <w:szCs w:val="24"/>
        </w:rPr>
        <w:t xml:space="preserve"> 4’ün üzerinde olduğunun gözlenmesine dayandırılmıştır. Stres ülserli çocuklardaki bu dolaylı ölçütün geçerliliği kanıtlanmamıştır.</w:t>
      </w:r>
    </w:p>
    <w:p w:rsidR="0011455D" w:rsidRPr="00811FCB" w:rsidRDefault="001145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616E59" w:rsidRPr="00811FCB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616E59" w:rsidRPr="00811FCB" w:rsidRDefault="006A375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6A3756" w:rsidRPr="00811FCB" w:rsidRDefault="006A375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uygulama sonrasında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emilimi hızlıdır ve genellikle uygulamadan sonra 15 dakika içerisinde doruk plazma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ulaşılır.</w:t>
      </w:r>
    </w:p>
    <w:p w:rsidR="006A3756" w:rsidRPr="00811FCB" w:rsidRDefault="006A375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6A3756" w:rsidRPr="00811FCB" w:rsidRDefault="00BE58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D</w:t>
      </w:r>
      <w:r w:rsidR="006A3756" w:rsidRPr="00811FCB">
        <w:rPr>
          <w:rFonts w:ascii="Times New Roman" w:hAnsi="Times New Roman" w:cs="Times New Roman"/>
          <w:sz w:val="24"/>
          <w:szCs w:val="24"/>
        </w:rPr>
        <w:t>ağılım hacmi (</w:t>
      </w:r>
      <w:proofErr w:type="spellStart"/>
      <w:r w:rsidR="006A3756" w:rsidRPr="00811FCB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6A3756" w:rsidRPr="00811F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A3756" w:rsidRPr="00811FCB">
        <w:rPr>
          <w:rFonts w:ascii="Times New Roman" w:hAnsi="Times New Roman" w:cs="Times New Roman"/>
          <w:sz w:val="24"/>
          <w:szCs w:val="24"/>
        </w:rPr>
        <w:t>1.</w:t>
      </w:r>
      <w:r w:rsidRPr="00811F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A3756" w:rsidRPr="00811FCB">
        <w:rPr>
          <w:rFonts w:ascii="Times New Roman" w:hAnsi="Times New Roman" w:cs="Times New Roman"/>
          <w:sz w:val="24"/>
          <w:szCs w:val="24"/>
        </w:rPr>
        <w:t xml:space="preserve"> L/</w:t>
      </w:r>
      <w:proofErr w:type="spellStart"/>
      <w:r w:rsidR="006A3756" w:rsidRPr="00811FCB">
        <w:rPr>
          <w:rFonts w:ascii="Times New Roman" w:hAnsi="Times New Roman" w:cs="Times New Roman"/>
          <w:sz w:val="24"/>
          <w:szCs w:val="24"/>
        </w:rPr>
        <w:t>kg</w:t>
      </w:r>
      <w:r w:rsidRPr="00811FCB">
        <w:rPr>
          <w:rFonts w:ascii="Times New Roman" w:hAnsi="Times New Roman" w:cs="Times New Roman"/>
          <w:sz w:val="24"/>
          <w:szCs w:val="24"/>
        </w:rPr>
        <w:t>’dır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.</w:t>
      </w:r>
      <w:r w:rsidR="006A3756" w:rsidRPr="00811FCB">
        <w:rPr>
          <w:rFonts w:ascii="Times New Roman" w:hAnsi="Times New Roman" w:cs="Times New Roman"/>
          <w:sz w:val="24"/>
          <w:szCs w:val="24"/>
        </w:rPr>
        <w:t xml:space="preserve"> Serum proteinlerine bağlanma oranı %15’tir.</w:t>
      </w:r>
    </w:p>
    <w:p w:rsidR="006A3756" w:rsidRPr="00811FCB" w:rsidRDefault="006A375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3756" w:rsidRPr="00811FCB" w:rsidRDefault="0043313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büyük ölçüde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edilmez.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Metabolitlerine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dönüşen kısım oral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dozlamadan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sonra benzerdir ve dozun %6’sı N-oksit, %2’si S-oksit, %2’si </w:t>
      </w:r>
      <w:proofErr w:type="spellStart"/>
      <w:r w:rsidR="00F7530C" w:rsidRPr="00811FCB">
        <w:rPr>
          <w:rFonts w:ascii="Times New Roman" w:hAnsi="Times New Roman" w:cs="Times New Roman"/>
          <w:sz w:val="24"/>
          <w:szCs w:val="24"/>
        </w:rPr>
        <w:t>d</w:t>
      </w:r>
      <w:r w:rsidRPr="00811FCB">
        <w:rPr>
          <w:rFonts w:ascii="Times New Roman" w:hAnsi="Times New Roman" w:cs="Times New Roman"/>
          <w:sz w:val="24"/>
          <w:szCs w:val="24"/>
        </w:rPr>
        <w:t>esmetilranitidin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%1-2</w:t>
      </w:r>
      <w:r w:rsidR="00F7530C" w:rsidRPr="00811FCB">
        <w:rPr>
          <w:rFonts w:ascii="Times New Roman" w:hAnsi="Times New Roman" w:cs="Times New Roman"/>
          <w:sz w:val="24"/>
          <w:szCs w:val="24"/>
        </w:rPr>
        <w:t>’si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furoik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analogu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olarak idrar ile atılır.</w:t>
      </w:r>
    </w:p>
    <w:p w:rsidR="0043313A" w:rsidRPr="00811FCB" w:rsidRDefault="0043313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43313A" w:rsidRPr="00811FCB" w:rsidRDefault="0043313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Plazma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 2-3 saatlik terminal yarılanma ömrü ile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eksponansiyel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olarak azalır. Eliminasyon temel olarak böbrekler yoluyla gerçekleşir. 150 mg </w:t>
      </w:r>
      <w:r w:rsidRPr="00811F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1FCB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yoldan uygulanmasından sonra, dozun %93’ünün idrar yolu ile %5’inin ise feçes yolu ile olmak üzere %98’inin elimine edildiği görülmüştür, bunun %70’i değişmemiş ana ilaçtır. Dozun %3’ünden azı safra ile atılır.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yaklaşık 500 mL/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dk’dır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bu değer net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salgılamayı gösteren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filtrasyonu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aşmaktadır.</w:t>
      </w:r>
    </w:p>
    <w:p w:rsidR="002B3751" w:rsidRPr="00811FCB" w:rsidRDefault="002B375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616E59" w:rsidRPr="00811FCB" w:rsidRDefault="002B375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  <w:u w:val="single"/>
        </w:rPr>
        <w:t>Yenidoğanlar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 (1 ay altı):</w:t>
      </w:r>
    </w:p>
    <w:p w:rsidR="002B3751" w:rsidRPr="00811FCB" w:rsidRDefault="002B375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Ekstrakorporeal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Oksijenasyonu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(EMCO) tedavisi gören zamanında doğan (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) bebeklerden elde edilen sınırlı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veriler,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yenidoğanlarda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uygulamayı takiben plazma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klerenslerinin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düşebileceğini (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>-8.2 mL/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/kg) ve yarılanma-ömrünün uzayabileceğini göstermiştir.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Yenidoğanlarda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tahmini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hızı ile bağlantılı olduğu düşünülmektedir.</w:t>
      </w:r>
    </w:p>
    <w:p w:rsidR="00BC459E" w:rsidRDefault="00BC459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459E" w:rsidRDefault="00BC459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6E8C" w:rsidRPr="00811FCB" w:rsidRDefault="00676E8C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lastRenderedPageBreak/>
        <w:t>Çocuklar/</w:t>
      </w:r>
      <w:proofErr w:type="spellStart"/>
      <w:r w:rsidRPr="00811FCB">
        <w:rPr>
          <w:rFonts w:ascii="Times New Roman" w:hAnsi="Times New Roman" w:cs="Times New Roman"/>
          <w:sz w:val="24"/>
          <w:szCs w:val="24"/>
          <w:u w:val="single"/>
        </w:rPr>
        <w:t>infantlar</w:t>
      </w:r>
      <w:proofErr w:type="spellEnd"/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 (6 aylık ve daha büyük):</w:t>
      </w:r>
    </w:p>
    <w:p w:rsidR="00676E8C" w:rsidRPr="00811FCB" w:rsidRDefault="00F413B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Sınırlı farmakokinetik veriler, vücut ağırlığına göre doz ayarlaması yapıldığı takdirde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uygulanan çocuklar ve sağlıklı erişkinler arasında, yarılanma-ömrü (3 yaş ve üzeri çocuklar için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 xml:space="preserve">: 1.7-2.2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) ve plazma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(3 yaş ve üzeri çocuklar için aralık: 9-22 mL/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/kg) açısından önemli değişiklikler olmadığını göstermiştir.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İnfantlardaki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veriler son derece sınırlıdır ancak daha büyük çocuklar için olan verilerle uyumlu gibi görünmektedir.</w:t>
      </w:r>
    </w:p>
    <w:p w:rsidR="0011455D" w:rsidRPr="00811FCB" w:rsidRDefault="001145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3B2" w:rsidRPr="00811FCB" w:rsidRDefault="00F413B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>50 yaş üzeri hastalar:</w:t>
      </w:r>
    </w:p>
    <w:p w:rsidR="00F413B2" w:rsidRPr="00811FCB" w:rsidRDefault="00F413B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50 yaş üzeri hastalarda böbrek fonksiyonlarında yaşa bağlı azalma ile bağlantılı olarak, yarılanma ömrü 3-4 saat uzamış ve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azalmıştır. Bununla birlikte sistemik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ve birikme %50 daha yüksektir. Bu fark, azalan böbrek fonksiyonların</w:t>
      </w:r>
      <w:r w:rsidR="00733538" w:rsidRPr="00811FCB">
        <w:rPr>
          <w:rFonts w:ascii="Times New Roman" w:hAnsi="Times New Roman" w:cs="Times New Roman"/>
          <w:sz w:val="24"/>
          <w:szCs w:val="24"/>
        </w:rPr>
        <w:t>a bağlı etkiyi aşmaktadır</w:t>
      </w:r>
      <w:r w:rsidRPr="00811FCB">
        <w:rPr>
          <w:rFonts w:ascii="Times New Roman" w:hAnsi="Times New Roman" w:cs="Times New Roman"/>
          <w:sz w:val="24"/>
          <w:szCs w:val="24"/>
        </w:rPr>
        <w:t xml:space="preserve"> ve yaşlı hastalarda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biyoyararlanımın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artmış olduğun</w:t>
      </w:r>
      <w:r w:rsidR="000806E1" w:rsidRPr="00811FCB">
        <w:rPr>
          <w:rFonts w:ascii="Times New Roman" w:hAnsi="Times New Roman" w:cs="Times New Roman"/>
          <w:sz w:val="24"/>
          <w:szCs w:val="24"/>
        </w:rPr>
        <w:t>a işaret et</w:t>
      </w:r>
      <w:r w:rsidRPr="00811FCB">
        <w:rPr>
          <w:rFonts w:ascii="Times New Roman" w:hAnsi="Times New Roman" w:cs="Times New Roman"/>
          <w:sz w:val="24"/>
          <w:szCs w:val="24"/>
        </w:rPr>
        <w:t>mektedir.</w:t>
      </w:r>
    </w:p>
    <w:p w:rsidR="00F413B2" w:rsidRPr="00811FCB" w:rsidRDefault="00F413B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641546" w:rsidRPr="00811FCB" w:rsidRDefault="00E8612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Güvenlilik </w:t>
      </w:r>
      <w:proofErr w:type="gramStart"/>
      <w:r w:rsidRPr="00811FCB">
        <w:rPr>
          <w:rFonts w:ascii="Times New Roman" w:hAnsi="Times New Roman" w:cs="Times New Roman"/>
          <w:sz w:val="24"/>
          <w:szCs w:val="24"/>
        </w:rPr>
        <w:t>farmakolojisi</w:t>
      </w:r>
      <w:proofErr w:type="gramEnd"/>
      <w:r w:rsidRPr="00811FCB">
        <w:rPr>
          <w:rFonts w:ascii="Times New Roman" w:hAnsi="Times New Roman" w:cs="Times New Roman"/>
          <w:sz w:val="24"/>
          <w:szCs w:val="24"/>
        </w:rPr>
        <w:t>, tekrarlan</w:t>
      </w:r>
      <w:r w:rsidR="003347D5" w:rsidRPr="00811FCB">
        <w:rPr>
          <w:rFonts w:ascii="Times New Roman" w:hAnsi="Times New Roman" w:cs="Times New Roman"/>
          <w:sz w:val="24"/>
          <w:szCs w:val="24"/>
        </w:rPr>
        <w:t>mış</w:t>
      </w:r>
      <w:r w:rsidRPr="00811FCB">
        <w:rPr>
          <w:rFonts w:ascii="Times New Roman" w:hAnsi="Times New Roman" w:cs="Times New Roman"/>
          <w:sz w:val="24"/>
          <w:szCs w:val="24"/>
        </w:rPr>
        <w:t xml:space="preserve"> doz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potansiyel ile üreme ve </w:t>
      </w:r>
      <w:r w:rsidR="003347D5" w:rsidRPr="00811FCB">
        <w:rPr>
          <w:rFonts w:ascii="Times New Roman" w:hAnsi="Times New Roman" w:cs="Times New Roman"/>
          <w:sz w:val="24"/>
          <w:szCs w:val="24"/>
        </w:rPr>
        <w:t>gelişim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toksisitesi</w:t>
      </w:r>
      <w:r w:rsidR="003347D5" w:rsidRPr="00811FC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3347D5" w:rsidRPr="00811FCB">
        <w:rPr>
          <w:rFonts w:ascii="Times New Roman" w:hAnsi="Times New Roman" w:cs="Times New Roman"/>
          <w:sz w:val="24"/>
          <w:szCs w:val="24"/>
        </w:rPr>
        <w:t>ilişkin konvansiyonel çalışmalar</w:t>
      </w:r>
      <w:r w:rsidR="00F3315F" w:rsidRPr="00811FCB">
        <w:rPr>
          <w:rFonts w:ascii="Times New Roman" w:hAnsi="Times New Roman" w:cs="Times New Roman"/>
          <w:sz w:val="24"/>
          <w:szCs w:val="24"/>
        </w:rPr>
        <w:t>a dayanılarak,</w:t>
      </w:r>
      <w:r w:rsidR="003347D5" w:rsidRPr="00811FCB">
        <w:rPr>
          <w:rFonts w:ascii="Times New Roman" w:hAnsi="Times New Roman" w:cs="Times New Roman"/>
          <w:sz w:val="24"/>
          <w:szCs w:val="24"/>
        </w:rPr>
        <w:t xml:space="preserve"> klinik öncesi veriler, insanlar için </w:t>
      </w:r>
      <w:r w:rsidR="00F3315F" w:rsidRPr="00811FCB">
        <w:rPr>
          <w:rFonts w:ascii="Times New Roman" w:hAnsi="Times New Roman" w:cs="Times New Roman"/>
          <w:sz w:val="24"/>
          <w:szCs w:val="24"/>
        </w:rPr>
        <w:t>özel bir tehlike olmadığını ortaya koymaktadır.</w:t>
      </w:r>
    </w:p>
    <w:p w:rsidR="00E8612E" w:rsidRPr="00811FCB" w:rsidRDefault="00E8612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616E59" w:rsidRPr="00811FCB" w:rsidRDefault="00D83EA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Fenol</w:t>
      </w:r>
    </w:p>
    <w:p w:rsidR="00D83EA7" w:rsidRPr="00811FCB" w:rsidRDefault="00D83EA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Potasyum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dihidrojen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ortofosfat</w:t>
      </w:r>
      <w:proofErr w:type="spellEnd"/>
    </w:p>
    <w:p w:rsidR="00D83EA7" w:rsidRPr="00811FCB" w:rsidRDefault="00D83EA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Susuz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disodyum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hidrojen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ortofosfat</w:t>
      </w:r>
      <w:proofErr w:type="spellEnd"/>
    </w:p>
    <w:p w:rsidR="00D83EA7" w:rsidRPr="00811FCB" w:rsidRDefault="00D83EA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Enjeksiyonluk su</w:t>
      </w:r>
    </w:p>
    <w:p w:rsidR="00D83EA7" w:rsidRPr="00811FCB" w:rsidRDefault="00D83EA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811FCB" w:rsidRDefault="00117D2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RANİTAB aşağıdaki intravenöz infüzyon sıvıları </w:t>
      </w:r>
      <w:r w:rsidR="005C02E8" w:rsidRPr="00811FCB">
        <w:rPr>
          <w:rFonts w:ascii="Times New Roman" w:hAnsi="Times New Roman" w:cs="Times New Roman"/>
          <w:sz w:val="24"/>
          <w:szCs w:val="24"/>
        </w:rPr>
        <w:t>ile geçimlidir: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%0.9 sodyum klorür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%5 dekstroz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%0.18 sodyum klorür %4 dekstroz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%4.2 sodyum bikarbonat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çözeltisi</w:t>
      </w:r>
    </w:p>
    <w:p w:rsidR="0011455D" w:rsidRPr="00811FCB" w:rsidRDefault="0011455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lastRenderedPageBreak/>
        <w:t>Raf ömrü</w:t>
      </w:r>
    </w:p>
    <w:p w:rsidR="00616E59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36 ay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5C02E8" w:rsidRPr="00811FCB" w:rsidRDefault="005C02E8" w:rsidP="005C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25</w:t>
      </w:r>
      <w:r w:rsidRPr="00811FC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11FCB">
        <w:rPr>
          <w:rFonts w:ascii="Times New Roman" w:hAnsi="Times New Roman" w:cs="Times New Roman"/>
          <w:sz w:val="24"/>
          <w:szCs w:val="24"/>
        </w:rPr>
        <w:t>C’nin altındaki oda sıcakl</w:t>
      </w:r>
      <w:r w:rsidR="00324EEF">
        <w:rPr>
          <w:rFonts w:ascii="Times New Roman" w:hAnsi="Times New Roman" w:cs="Times New Roman"/>
          <w:sz w:val="24"/>
          <w:szCs w:val="24"/>
        </w:rPr>
        <w:t>ı</w:t>
      </w:r>
      <w:r w:rsidRPr="00811FCB">
        <w:rPr>
          <w:rFonts w:ascii="Times New Roman" w:hAnsi="Times New Roman" w:cs="Times New Roman"/>
          <w:sz w:val="24"/>
          <w:szCs w:val="24"/>
        </w:rPr>
        <w:t xml:space="preserve">ğında ve ışıktan koruyarak saklayınız. 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5C02E8" w:rsidRPr="00811FCB" w:rsidRDefault="005C02E8" w:rsidP="005C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  <w:u w:val="single"/>
        </w:rPr>
        <w:t xml:space="preserve">Ambalaj materyalinin </w:t>
      </w:r>
      <w:proofErr w:type="gramStart"/>
      <w:r w:rsidRPr="00811FCB">
        <w:rPr>
          <w:rFonts w:ascii="Times New Roman" w:hAnsi="Times New Roman" w:cs="Times New Roman"/>
          <w:sz w:val="24"/>
          <w:szCs w:val="24"/>
          <w:u w:val="single"/>
        </w:rPr>
        <w:t>yapısı</w:t>
      </w:r>
      <w:r w:rsidRPr="00811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02E8" w:rsidRPr="00811FCB" w:rsidRDefault="005C02E8" w:rsidP="005C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Tip I camdan (dayanma gücü yüksek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borosilikat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cam) yapılmış, üzeri baskılı, 2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ml’li</w:t>
      </w:r>
      <w:r w:rsidR="00A2410D" w:rsidRPr="00811FC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2410D" w:rsidRPr="00811FCB">
        <w:rPr>
          <w:rFonts w:ascii="Times New Roman" w:hAnsi="Times New Roman" w:cs="Times New Roman"/>
          <w:sz w:val="24"/>
          <w:szCs w:val="24"/>
        </w:rPr>
        <w:t xml:space="preserve"> amber renkli, halkalı ampul.</w:t>
      </w:r>
    </w:p>
    <w:p w:rsidR="005C02E8" w:rsidRPr="00811FCB" w:rsidRDefault="005C02E8" w:rsidP="005C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Her bir karton kutu 5</w:t>
      </w:r>
      <w:r w:rsidR="00134943">
        <w:rPr>
          <w:rFonts w:ascii="Times New Roman" w:hAnsi="Times New Roman" w:cs="Times New Roman"/>
          <w:sz w:val="24"/>
          <w:szCs w:val="24"/>
        </w:rPr>
        <w:t xml:space="preserve"> ve </w:t>
      </w:r>
      <w:r w:rsidR="00134943" w:rsidRPr="00324EEF">
        <w:rPr>
          <w:rFonts w:ascii="Times New Roman" w:hAnsi="Times New Roman" w:cs="Times New Roman"/>
          <w:sz w:val="24"/>
          <w:szCs w:val="24"/>
        </w:rPr>
        <w:t>100</w:t>
      </w:r>
      <w:r w:rsidRPr="00811FCB">
        <w:rPr>
          <w:rFonts w:ascii="Times New Roman" w:hAnsi="Times New Roman" w:cs="Times New Roman"/>
          <w:sz w:val="24"/>
          <w:szCs w:val="24"/>
        </w:rPr>
        <w:t xml:space="preserve"> </w:t>
      </w:r>
      <w:r w:rsidR="00A2410D" w:rsidRPr="00811FCB">
        <w:rPr>
          <w:rFonts w:ascii="Times New Roman" w:hAnsi="Times New Roman" w:cs="Times New Roman"/>
          <w:sz w:val="24"/>
          <w:szCs w:val="24"/>
        </w:rPr>
        <w:t>adet ampul içerir.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5C02E8" w:rsidRPr="00811FCB" w:rsidRDefault="005C02E8" w:rsidP="005C0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 xml:space="preserve">Kullanılmamış olan ürünler ya da atık materyaller “Tıbbi Atıkların Kontrolü Yönetmeliği” ve Ambalaj ve Ambalaj Atıklarının Kontrolü </w:t>
      </w:r>
      <w:proofErr w:type="spellStart"/>
      <w:r w:rsidRPr="00811FCB">
        <w:rPr>
          <w:rFonts w:ascii="Times New Roman" w:hAnsi="Times New Roman" w:cs="Times New Roman"/>
          <w:sz w:val="24"/>
          <w:szCs w:val="24"/>
        </w:rPr>
        <w:t>Yönetmelik”lerine</w:t>
      </w:r>
      <w:proofErr w:type="spellEnd"/>
      <w:r w:rsidRPr="00811FCB">
        <w:rPr>
          <w:rFonts w:ascii="Times New Roman" w:hAnsi="Times New Roman" w:cs="Times New Roman"/>
          <w:sz w:val="24"/>
          <w:szCs w:val="24"/>
        </w:rPr>
        <w:t xml:space="preserve"> uygun olarak imha edilmelidir. </w:t>
      </w:r>
    </w:p>
    <w:p w:rsidR="005C02E8" w:rsidRPr="00811FCB" w:rsidRDefault="005C02E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86291A" w:rsidRPr="00811FCB" w:rsidRDefault="0051753B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CB">
        <w:rPr>
          <w:rFonts w:ascii="Times New Roman" w:eastAsia="Calibri" w:hAnsi="Times New Roman" w:cs="Times New Roman"/>
          <w:sz w:val="24"/>
          <w:szCs w:val="24"/>
        </w:rPr>
        <w:t xml:space="preserve">DEVA HOLDİNG </w:t>
      </w:r>
      <w:r w:rsidR="0086291A" w:rsidRPr="00811FCB">
        <w:rPr>
          <w:rFonts w:ascii="Times New Roman" w:eastAsia="Calibri" w:hAnsi="Times New Roman" w:cs="Times New Roman"/>
          <w:sz w:val="24"/>
          <w:szCs w:val="24"/>
        </w:rPr>
        <w:t xml:space="preserve">A.Ş. </w:t>
      </w:r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CB">
        <w:rPr>
          <w:rFonts w:ascii="Times New Roman" w:eastAsia="Calibri" w:hAnsi="Times New Roman" w:cs="Times New Roman"/>
          <w:sz w:val="24"/>
          <w:szCs w:val="24"/>
        </w:rPr>
        <w:t>Halkalı Merkez Mah. Basın Ekspres Cad.</w:t>
      </w:r>
      <w:r w:rsidR="0051753B" w:rsidRPr="00811FCB">
        <w:rPr>
          <w:rFonts w:ascii="Times New Roman" w:eastAsia="Calibri" w:hAnsi="Times New Roman" w:cs="Times New Roman"/>
          <w:sz w:val="24"/>
          <w:szCs w:val="24"/>
        </w:rPr>
        <w:t xml:space="preserve"> No:1</w:t>
      </w:r>
      <w:r w:rsidRPr="00811FCB">
        <w:rPr>
          <w:rFonts w:ascii="Times New Roman" w:eastAsia="Calibri" w:hAnsi="Times New Roman" w:cs="Times New Roman"/>
          <w:sz w:val="24"/>
          <w:szCs w:val="24"/>
        </w:rPr>
        <w:t xml:space="preserve"> 34303</w:t>
      </w:r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CB">
        <w:rPr>
          <w:rFonts w:ascii="Times New Roman" w:eastAsia="Calibri" w:hAnsi="Times New Roman" w:cs="Times New Roman"/>
          <w:sz w:val="24"/>
          <w:szCs w:val="24"/>
        </w:rPr>
        <w:t>Küçükçekmece/İSTANBUL</w:t>
      </w:r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1FCB">
        <w:rPr>
          <w:rFonts w:ascii="Times New Roman" w:eastAsia="Calibri" w:hAnsi="Times New Roman" w:cs="Times New Roman"/>
          <w:sz w:val="24"/>
          <w:szCs w:val="24"/>
        </w:rPr>
        <w:t>Tel : 0212</w:t>
      </w:r>
      <w:proofErr w:type="gramEnd"/>
      <w:r w:rsidRPr="00811FCB">
        <w:rPr>
          <w:rFonts w:ascii="Times New Roman" w:eastAsia="Calibri" w:hAnsi="Times New Roman" w:cs="Times New Roman"/>
          <w:sz w:val="24"/>
          <w:szCs w:val="24"/>
        </w:rPr>
        <w:t xml:space="preserve"> 692 92 </w:t>
      </w:r>
      <w:proofErr w:type="spellStart"/>
      <w:r w:rsidRPr="00811FCB">
        <w:rPr>
          <w:rFonts w:ascii="Times New Roman" w:eastAsia="Calibri" w:hAnsi="Times New Roman" w:cs="Times New Roman"/>
          <w:sz w:val="24"/>
          <w:szCs w:val="24"/>
        </w:rPr>
        <w:t>92</w:t>
      </w:r>
      <w:proofErr w:type="spellEnd"/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1FCB">
        <w:rPr>
          <w:rFonts w:ascii="Times New Roman" w:eastAsia="Calibri" w:hAnsi="Times New Roman" w:cs="Times New Roman"/>
          <w:sz w:val="24"/>
          <w:szCs w:val="24"/>
        </w:rPr>
        <w:t>Fax</w:t>
      </w:r>
      <w:proofErr w:type="spellEnd"/>
      <w:r w:rsidRPr="00811FCB">
        <w:rPr>
          <w:rFonts w:ascii="Times New Roman" w:eastAsia="Calibri" w:hAnsi="Times New Roman" w:cs="Times New Roman"/>
          <w:sz w:val="24"/>
          <w:szCs w:val="24"/>
        </w:rPr>
        <w:t>: 0212 697 00 24</w:t>
      </w:r>
    </w:p>
    <w:p w:rsidR="0086291A" w:rsidRPr="00811FCB" w:rsidRDefault="008629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CB">
        <w:rPr>
          <w:rFonts w:ascii="Times New Roman" w:eastAsia="Calibri" w:hAnsi="Times New Roman" w:cs="Times New Roman"/>
          <w:sz w:val="24"/>
          <w:szCs w:val="24"/>
        </w:rPr>
        <w:t>213 / 82</w:t>
      </w:r>
    </w:p>
    <w:p w:rsidR="0086291A" w:rsidRPr="00811FCB" w:rsidRDefault="008629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11FCB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CB">
        <w:rPr>
          <w:rFonts w:ascii="Times New Roman" w:eastAsia="Calibri" w:hAnsi="Times New Roman" w:cs="Times New Roman"/>
          <w:sz w:val="24"/>
          <w:szCs w:val="24"/>
        </w:rPr>
        <w:t>İlk ruhsat tarihi: 12.12.2007</w:t>
      </w:r>
    </w:p>
    <w:p w:rsidR="0086291A" w:rsidRPr="00811FCB" w:rsidRDefault="0086291A" w:rsidP="00862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CB">
        <w:rPr>
          <w:rFonts w:ascii="Times New Roman" w:eastAsia="Calibri" w:hAnsi="Times New Roman" w:cs="Times New Roman"/>
          <w:sz w:val="24"/>
          <w:szCs w:val="24"/>
        </w:rPr>
        <w:t>Ruhsat yenileme tarihi:</w:t>
      </w:r>
      <w:r w:rsidR="00096208" w:rsidRPr="00811FCB">
        <w:rPr>
          <w:rFonts w:ascii="Times New Roman" w:eastAsia="Calibri" w:hAnsi="Times New Roman" w:cs="Times New Roman"/>
          <w:sz w:val="24"/>
          <w:szCs w:val="24"/>
        </w:rPr>
        <w:t xml:space="preserve"> 05.02.2013</w:t>
      </w:r>
    </w:p>
    <w:p w:rsidR="0086291A" w:rsidRPr="00811FCB" w:rsidRDefault="0086291A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11FCB" w:rsidRDefault="00C93104" w:rsidP="00616E5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CB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sectPr w:rsidR="00616E59" w:rsidRPr="00811FCB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6F" w:rsidRDefault="00EF346F" w:rsidP="00F33D2C">
      <w:pPr>
        <w:spacing w:after="0" w:line="240" w:lineRule="auto"/>
      </w:pPr>
      <w:r>
        <w:separator/>
      </w:r>
    </w:p>
  </w:endnote>
  <w:endnote w:type="continuationSeparator" w:id="0">
    <w:p w:rsidR="00EF346F" w:rsidRDefault="00EF346F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D6171B" w:rsidRPr="00F33D2C" w:rsidRDefault="00BC2C89">
            <w:pPr>
              <w:pStyle w:val="Altbilgi"/>
              <w:jc w:val="right"/>
            </w:pPr>
            <w:fldSimple w:instr="PAGE">
              <w:r w:rsidR="00B16B8B">
                <w:rPr>
                  <w:noProof/>
                </w:rPr>
                <w:t>9</w:t>
              </w:r>
            </w:fldSimple>
            <w:r w:rsidR="00D6171B" w:rsidRPr="00F33D2C">
              <w:t xml:space="preserve"> / </w:t>
            </w:r>
            <w:fldSimple w:instr="NUMPAGES">
              <w:r w:rsidR="00B16B8B">
                <w:rPr>
                  <w:noProof/>
                </w:rPr>
                <w:t>12</w:t>
              </w:r>
            </w:fldSimple>
          </w:p>
        </w:sdtContent>
      </w:sdt>
    </w:sdtContent>
  </w:sdt>
  <w:p w:rsidR="00D6171B" w:rsidRDefault="00D617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6F" w:rsidRDefault="00EF346F" w:rsidP="00F33D2C">
      <w:pPr>
        <w:spacing w:after="0" w:line="240" w:lineRule="auto"/>
      </w:pPr>
      <w:r>
        <w:separator/>
      </w:r>
    </w:p>
  </w:footnote>
  <w:footnote w:type="continuationSeparator" w:id="0">
    <w:p w:rsidR="00EF346F" w:rsidRDefault="00EF346F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D02"/>
    <w:multiLevelType w:val="hybridMultilevel"/>
    <w:tmpl w:val="70943642"/>
    <w:lvl w:ilvl="0" w:tplc="5B123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D0"/>
    <w:multiLevelType w:val="hybridMultilevel"/>
    <w:tmpl w:val="D4C8A2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211"/>
    <w:multiLevelType w:val="hybridMultilevel"/>
    <w:tmpl w:val="77B4A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163F7"/>
    <w:rsid w:val="00026DCB"/>
    <w:rsid w:val="00030AC4"/>
    <w:rsid w:val="00040B82"/>
    <w:rsid w:val="00043C1F"/>
    <w:rsid w:val="00062F28"/>
    <w:rsid w:val="0006730D"/>
    <w:rsid w:val="0007639A"/>
    <w:rsid w:val="000806E1"/>
    <w:rsid w:val="00096208"/>
    <w:rsid w:val="000A2953"/>
    <w:rsid w:val="000A7B6D"/>
    <w:rsid w:val="000B6420"/>
    <w:rsid w:val="000D2B72"/>
    <w:rsid w:val="00103DB3"/>
    <w:rsid w:val="0011455D"/>
    <w:rsid w:val="00117D2D"/>
    <w:rsid w:val="001200E1"/>
    <w:rsid w:val="00120C68"/>
    <w:rsid w:val="00134943"/>
    <w:rsid w:val="001A7A48"/>
    <w:rsid w:val="001E5A23"/>
    <w:rsid w:val="001F1192"/>
    <w:rsid w:val="001F3FB0"/>
    <w:rsid w:val="00261A56"/>
    <w:rsid w:val="00271511"/>
    <w:rsid w:val="0028032B"/>
    <w:rsid w:val="002B3751"/>
    <w:rsid w:val="002D3C87"/>
    <w:rsid w:val="002E1492"/>
    <w:rsid w:val="002E4938"/>
    <w:rsid w:val="0032335C"/>
    <w:rsid w:val="00324EEF"/>
    <w:rsid w:val="003347D5"/>
    <w:rsid w:val="00357E3B"/>
    <w:rsid w:val="00370CFB"/>
    <w:rsid w:val="0037110D"/>
    <w:rsid w:val="0039667E"/>
    <w:rsid w:val="003B6FBD"/>
    <w:rsid w:val="003F4871"/>
    <w:rsid w:val="00407A89"/>
    <w:rsid w:val="004104EE"/>
    <w:rsid w:val="0043313A"/>
    <w:rsid w:val="00451C23"/>
    <w:rsid w:val="00482435"/>
    <w:rsid w:val="004868B9"/>
    <w:rsid w:val="004A0968"/>
    <w:rsid w:val="004B2619"/>
    <w:rsid w:val="004B3636"/>
    <w:rsid w:val="004B7AC5"/>
    <w:rsid w:val="004C6538"/>
    <w:rsid w:val="004E2824"/>
    <w:rsid w:val="004E587F"/>
    <w:rsid w:val="004F6F6D"/>
    <w:rsid w:val="0051753B"/>
    <w:rsid w:val="005323EF"/>
    <w:rsid w:val="00582B00"/>
    <w:rsid w:val="005C02E8"/>
    <w:rsid w:val="005C033F"/>
    <w:rsid w:val="005C61FF"/>
    <w:rsid w:val="005D6CC2"/>
    <w:rsid w:val="00613F90"/>
    <w:rsid w:val="00616E59"/>
    <w:rsid w:val="006206CD"/>
    <w:rsid w:val="00641546"/>
    <w:rsid w:val="00650D27"/>
    <w:rsid w:val="0066038D"/>
    <w:rsid w:val="006613AF"/>
    <w:rsid w:val="00676E8C"/>
    <w:rsid w:val="006A3756"/>
    <w:rsid w:val="006B0B5E"/>
    <w:rsid w:val="006E3A51"/>
    <w:rsid w:val="006F0DF3"/>
    <w:rsid w:val="006F56CB"/>
    <w:rsid w:val="0070404E"/>
    <w:rsid w:val="007132EF"/>
    <w:rsid w:val="00725B5A"/>
    <w:rsid w:val="00731A56"/>
    <w:rsid w:val="00733538"/>
    <w:rsid w:val="00764548"/>
    <w:rsid w:val="0078631A"/>
    <w:rsid w:val="00786536"/>
    <w:rsid w:val="00786F9F"/>
    <w:rsid w:val="00787E68"/>
    <w:rsid w:val="007A2A7F"/>
    <w:rsid w:val="007B2490"/>
    <w:rsid w:val="007F4276"/>
    <w:rsid w:val="007F76EB"/>
    <w:rsid w:val="00811FCB"/>
    <w:rsid w:val="00816FCE"/>
    <w:rsid w:val="008479FC"/>
    <w:rsid w:val="00852987"/>
    <w:rsid w:val="0086291A"/>
    <w:rsid w:val="0086624A"/>
    <w:rsid w:val="0087329F"/>
    <w:rsid w:val="00874AA9"/>
    <w:rsid w:val="00880FCD"/>
    <w:rsid w:val="008F2768"/>
    <w:rsid w:val="00923C48"/>
    <w:rsid w:val="00924985"/>
    <w:rsid w:val="00932C99"/>
    <w:rsid w:val="00974827"/>
    <w:rsid w:val="009A0132"/>
    <w:rsid w:val="009B1ABB"/>
    <w:rsid w:val="009F73E6"/>
    <w:rsid w:val="00A04DFA"/>
    <w:rsid w:val="00A2410D"/>
    <w:rsid w:val="00A405AA"/>
    <w:rsid w:val="00A5586C"/>
    <w:rsid w:val="00A76B19"/>
    <w:rsid w:val="00A80FD9"/>
    <w:rsid w:val="00AF607F"/>
    <w:rsid w:val="00B16B8B"/>
    <w:rsid w:val="00B32322"/>
    <w:rsid w:val="00B41AD8"/>
    <w:rsid w:val="00B618DF"/>
    <w:rsid w:val="00B732AE"/>
    <w:rsid w:val="00B75BAF"/>
    <w:rsid w:val="00BB04B4"/>
    <w:rsid w:val="00BC2C89"/>
    <w:rsid w:val="00BC459E"/>
    <w:rsid w:val="00BE2969"/>
    <w:rsid w:val="00BE58BF"/>
    <w:rsid w:val="00BE6FEB"/>
    <w:rsid w:val="00BF1708"/>
    <w:rsid w:val="00C7779E"/>
    <w:rsid w:val="00C8108A"/>
    <w:rsid w:val="00C845FB"/>
    <w:rsid w:val="00C93104"/>
    <w:rsid w:val="00CB3842"/>
    <w:rsid w:val="00CB450B"/>
    <w:rsid w:val="00CE06DA"/>
    <w:rsid w:val="00CE38A9"/>
    <w:rsid w:val="00CE4B2E"/>
    <w:rsid w:val="00D01349"/>
    <w:rsid w:val="00D0174E"/>
    <w:rsid w:val="00D1030D"/>
    <w:rsid w:val="00D1561D"/>
    <w:rsid w:val="00D314EA"/>
    <w:rsid w:val="00D40BC2"/>
    <w:rsid w:val="00D43A7E"/>
    <w:rsid w:val="00D53B7C"/>
    <w:rsid w:val="00D6171B"/>
    <w:rsid w:val="00D73680"/>
    <w:rsid w:val="00D83EA7"/>
    <w:rsid w:val="00D936D7"/>
    <w:rsid w:val="00D95E02"/>
    <w:rsid w:val="00DE07F0"/>
    <w:rsid w:val="00DF3F35"/>
    <w:rsid w:val="00DF6995"/>
    <w:rsid w:val="00E10DDC"/>
    <w:rsid w:val="00E24D1B"/>
    <w:rsid w:val="00E33D45"/>
    <w:rsid w:val="00E45807"/>
    <w:rsid w:val="00E53756"/>
    <w:rsid w:val="00E80026"/>
    <w:rsid w:val="00E8612E"/>
    <w:rsid w:val="00E87628"/>
    <w:rsid w:val="00EB007B"/>
    <w:rsid w:val="00EB06FA"/>
    <w:rsid w:val="00EB11F0"/>
    <w:rsid w:val="00ED220F"/>
    <w:rsid w:val="00ED2CF9"/>
    <w:rsid w:val="00EE473A"/>
    <w:rsid w:val="00EF1FFB"/>
    <w:rsid w:val="00EF346F"/>
    <w:rsid w:val="00F204E0"/>
    <w:rsid w:val="00F3315F"/>
    <w:rsid w:val="00F33D2C"/>
    <w:rsid w:val="00F413B2"/>
    <w:rsid w:val="00F7530C"/>
    <w:rsid w:val="00F96221"/>
    <w:rsid w:val="00FA2AFD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character" w:styleId="AklamaBavurusu">
    <w:name w:val="annotation reference"/>
    <w:basedOn w:val="VarsaylanParagrafYazTipi"/>
    <w:uiPriority w:val="99"/>
    <w:semiHidden/>
    <w:unhideWhenUsed/>
    <w:rsid w:val="00FF77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77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77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77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77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416E-DC8F-4D57-99A1-0ED1289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esecgel</cp:lastModifiedBy>
  <cp:revision>9</cp:revision>
  <cp:lastPrinted>2014-05-23T10:11:00Z</cp:lastPrinted>
  <dcterms:created xsi:type="dcterms:W3CDTF">2014-03-27T08:31:00Z</dcterms:created>
  <dcterms:modified xsi:type="dcterms:W3CDTF">2014-05-23T10:11:00Z</dcterms:modified>
</cp:coreProperties>
</file>