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F5" w:rsidRPr="00B82F4C" w:rsidRDefault="00B749F5" w:rsidP="008F12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KISA ÜRÜN BİLGİSİ</w:t>
      </w:r>
    </w:p>
    <w:p w:rsidR="00F400D2" w:rsidRPr="00B82F4C" w:rsidRDefault="00F400D2" w:rsidP="008F12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1. BEŞERİ TIBBİ ÜRÜNÜN ADI</w:t>
      </w:r>
    </w:p>
    <w:p w:rsidR="004C0107" w:rsidRPr="004C0107" w:rsidRDefault="004C0107" w:rsidP="004C01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0107">
        <w:rPr>
          <w:rFonts w:ascii="Times New Roman" w:hAnsi="Times New Roman" w:cs="Times New Roman"/>
          <w:bCs/>
          <w:sz w:val="24"/>
          <w:szCs w:val="24"/>
        </w:rPr>
        <w:t xml:space="preserve">CEFAKS 250 mg İ.M./İ.V. </w:t>
      </w:r>
      <w:proofErr w:type="spellStart"/>
      <w:r w:rsidRPr="004C0107">
        <w:rPr>
          <w:rFonts w:ascii="Times New Roman" w:hAnsi="Times New Roman" w:cs="Times New Roman"/>
          <w:bCs/>
          <w:sz w:val="24"/>
          <w:szCs w:val="24"/>
        </w:rPr>
        <w:t>Enjektabl</w:t>
      </w:r>
      <w:proofErr w:type="spellEnd"/>
      <w:r w:rsidRPr="004C0107">
        <w:rPr>
          <w:rFonts w:ascii="Times New Roman" w:hAnsi="Times New Roman" w:cs="Times New Roman"/>
          <w:bCs/>
          <w:sz w:val="24"/>
          <w:szCs w:val="24"/>
        </w:rPr>
        <w:t xml:space="preserve"> Toz İçeren </w:t>
      </w:r>
      <w:proofErr w:type="spellStart"/>
      <w:r w:rsidRPr="004C0107">
        <w:rPr>
          <w:rFonts w:ascii="Times New Roman" w:hAnsi="Times New Roman" w:cs="Times New Roman"/>
          <w:bCs/>
          <w:sz w:val="24"/>
          <w:szCs w:val="24"/>
        </w:rPr>
        <w:t>Flakon</w:t>
      </w:r>
      <w:proofErr w:type="spellEnd"/>
    </w:p>
    <w:p w:rsidR="00A30D5B" w:rsidRPr="00B82F4C" w:rsidRDefault="00A30D5B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2. KALİTATİF VE KANTİTATİF BİLEŞİMİ</w:t>
      </w: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Etkin madde:</w:t>
      </w: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Her bir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,</w:t>
      </w:r>
    </w:p>
    <w:p w:rsidR="00A30D5B" w:rsidRPr="00B82F4C" w:rsidRDefault="00A30D5B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r w:rsidR="004C010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C0107"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="004C0107" w:rsidRPr="00B82F4C">
        <w:rPr>
          <w:rFonts w:ascii="Times New Roman" w:hAnsi="Times New Roman" w:cs="Times New Roman"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Sodyum</w:t>
      </w:r>
      <w:r w:rsidR="004C0107">
        <w:rPr>
          <w:rFonts w:ascii="Times New Roman" w:hAnsi="Times New Roman" w:cs="Times New Roman"/>
          <w:sz w:val="24"/>
          <w:szCs w:val="24"/>
        </w:rPr>
        <w:t xml:space="preserve"> olarak)</w:t>
      </w:r>
      <w:proofErr w:type="gramStart"/>
      <w:r w:rsidR="004C010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4C0107" w:rsidRPr="004C0107">
        <w:rPr>
          <w:rFonts w:ascii="Times New Roman" w:hAnsi="Times New Roman" w:cs="Times New Roman"/>
          <w:sz w:val="24"/>
          <w:szCs w:val="24"/>
        </w:rPr>
        <w:t xml:space="preserve"> </w:t>
      </w:r>
      <w:r w:rsidR="004C0107" w:rsidRPr="00B82F4C">
        <w:rPr>
          <w:rFonts w:ascii="Times New Roman" w:hAnsi="Times New Roman" w:cs="Times New Roman"/>
          <w:sz w:val="24"/>
          <w:szCs w:val="24"/>
        </w:rPr>
        <w:t>250.0 mg</w:t>
      </w:r>
    </w:p>
    <w:p w:rsidR="004C0107" w:rsidRDefault="004C0107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Yardımcı madde:</w:t>
      </w: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Enjeksiyonluk su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............................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r w:rsidR="00BD746A" w:rsidRPr="00B82F4C">
        <w:rPr>
          <w:rFonts w:ascii="Times New Roman" w:hAnsi="Times New Roman" w:cs="Times New Roman"/>
          <w:sz w:val="24"/>
          <w:szCs w:val="24"/>
        </w:rPr>
        <w:t xml:space="preserve">2 </w:t>
      </w:r>
      <w:r w:rsidRPr="00B82F4C">
        <w:rPr>
          <w:rFonts w:ascii="Times New Roman" w:hAnsi="Times New Roman" w:cs="Times New Roman"/>
          <w:sz w:val="24"/>
          <w:szCs w:val="24"/>
        </w:rPr>
        <w:t>ml</w:t>
      </w:r>
    </w:p>
    <w:p w:rsidR="008F12A2" w:rsidRPr="00B82F4C" w:rsidRDefault="008F12A2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3. FARMASÖTİK FORMU</w:t>
      </w: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Enjeksiyonluk çözelti hazırlamak için toz ve çözücüsü</w:t>
      </w:r>
    </w:p>
    <w:p w:rsidR="008F12A2" w:rsidRDefault="000B2910" w:rsidP="008F12A2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Beyaz krem renkli toz halindedir.</w:t>
      </w:r>
    </w:p>
    <w:p w:rsidR="000B2910" w:rsidRPr="00B82F4C" w:rsidRDefault="000B2910" w:rsidP="008F12A2">
      <w:pPr>
        <w:tabs>
          <w:tab w:val="left" w:pos="284"/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4. KLİNİK ÖZELLİKLER</w:t>
      </w: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4.1. </w:t>
      </w: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Terapötik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endikasyonlar</w:t>
      </w:r>
      <w:proofErr w:type="spellEnd"/>
    </w:p>
    <w:p w:rsidR="002A1B53" w:rsidRPr="00B82F4C" w:rsidRDefault="002A1B53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CEFAKS belirli mikroorganizmaların duyarlı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suşlarının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sebep olduğu aşağıdaki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enfeksiyonların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tedavisinde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:</w:t>
      </w:r>
    </w:p>
    <w:p w:rsidR="002A1B53" w:rsidRPr="00B82F4C" w:rsidRDefault="002A1B53" w:rsidP="008F12A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Alt solunum yolu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p w:rsidR="002A1B53" w:rsidRPr="00B82F4C" w:rsidRDefault="002A1B53" w:rsidP="008F12A2">
      <w:pPr>
        <w:pStyle w:val="ListeParagra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amfisiline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dirençli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dahil),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proofErr w:type="gram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B82F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penisilinaz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 xml:space="preserve">üreten ve üretmeyen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pyogenes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kökenlerinin</w:t>
      </w:r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 xml:space="preserve">etken olduğu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pnömoni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dahil olmak üzere.</w:t>
      </w:r>
    </w:p>
    <w:p w:rsidR="002A1B53" w:rsidRPr="00B82F4C" w:rsidRDefault="002A1B53" w:rsidP="008F12A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İdrar yolu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enfeksiyonları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ve</w:t>
      </w:r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A1B53" w:rsidRPr="00B82F4C" w:rsidRDefault="002A1B53" w:rsidP="008F12A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Deri ve yumuşak doku enfeksiyonları: </w:t>
      </w:r>
      <w:proofErr w:type="spellStart"/>
      <w:r w:rsidR="002257F6" w:rsidRPr="00B82F4C">
        <w:rPr>
          <w:rFonts w:ascii="Times New Roman" w:hAnsi="Times New Roman" w:cs="Times New Roman"/>
          <w:i/>
          <w:iCs/>
          <w:sz w:val="24"/>
          <w:szCs w:val="24"/>
        </w:rPr>
        <w:t>metisiline</w:t>
      </w:r>
      <w:proofErr w:type="spellEnd"/>
      <w:r w:rsidR="002257F6"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duyarlı </w:t>
      </w:r>
      <w:proofErr w:type="spellStart"/>
      <w:r w:rsidR="002257F6" w:rsidRPr="00B82F4C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="002257F6"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penisilinaz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üreten ve üretmeyen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proofErr w:type="gram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pyogenes</w:t>
      </w:r>
      <w:proofErr w:type="spellEnd"/>
      <w:proofErr w:type="gram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Enterobacter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A1B53" w:rsidRPr="00B82F4C" w:rsidRDefault="002A1B53" w:rsidP="008F12A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Septisemi:</w:t>
      </w:r>
      <w:r w:rsidRPr="00B82F4C"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penisilinaz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üreten ve üretmeyen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proofErr w:type="gram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Escherichia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coli</w:t>
      </w:r>
      <w:proofErr w:type="spellEnd"/>
      <w:proofErr w:type="gram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Pr="00B82F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amfisiline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dirençli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dahil) ve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Klebsiella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A1B53" w:rsidRPr="00B82F4C" w:rsidRDefault="002A1B53" w:rsidP="008F12A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Menenjit: </w:t>
      </w:r>
      <w:proofErr w:type="spellStart"/>
      <w:proofErr w:type="gram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Streptococcus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pneumoniae</w:t>
      </w:r>
      <w:proofErr w:type="spellEnd"/>
      <w:proofErr w:type="gram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,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Haemophilus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influenzae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82F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amfisiline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dirençli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dahil),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meningitidis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82F4C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metisiline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duyarlı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penisilinaz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üreten ve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penisilinaz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üretmeyen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).</w:t>
      </w:r>
    </w:p>
    <w:p w:rsidR="002A1B53" w:rsidRPr="00B82F4C" w:rsidRDefault="002A1B53" w:rsidP="008F12A2">
      <w:pPr>
        <w:pStyle w:val="ListeParagr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Gonore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: Kadınlarda ve erkeklerde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Neisseria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gonorrhoeae</w:t>
      </w:r>
      <w:r w:rsidRPr="00B82F4C"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yol açtığı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komplikasyon        yapmamış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dissemine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gonokok enfeksiyonları.</w:t>
      </w:r>
    </w:p>
    <w:p w:rsidR="002A1B53" w:rsidRPr="00B82F4C" w:rsidRDefault="002A1B53" w:rsidP="008F12A2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Kemik ve eklem enfeksiyonları: </w:t>
      </w:r>
      <w:proofErr w:type="spellStart"/>
      <w:proofErr w:type="gram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Staphylococcus</w:t>
      </w:r>
      <w:proofErr w:type="spell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aureus</w:t>
      </w:r>
      <w:proofErr w:type="spellEnd"/>
      <w:proofErr w:type="gramEnd"/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82F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penisilinaz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üreten ve üretmeyen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).</w:t>
      </w:r>
    </w:p>
    <w:p w:rsidR="002A1B53" w:rsidRPr="00B82F4C" w:rsidRDefault="002A1B53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7F6" w:rsidRPr="00B82F4C" w:rsidRDefault="002A1B53" w:rsidP="008F12A2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Profilaksi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: CEFAKS’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operasyon öncesi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kullanımı, temiz-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veya potansiyel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kontamine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olarak sınıflandırılan, cerrahi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uygulanmış hastalarda (örn.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vajinal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histerektomi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patojenik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duyarlı bakterilerin büyümesi önleyerek bazı operasyon sonrası enfeksiyonların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insidansını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azaltır. </w:t>
      </w:r>
    </w:p>
    <w:p w:rsidR="002257F6" w:rsidRPr="00B82F4C" w:rsidRDefault="002257F6" w:rsidP="008F12A2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B53" w:rsidRPr="00B82F4C" w:rsidRDefault="002A1B53" w:rsidP="008F12A2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Cerrahi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prosedürlerde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antibiyotiklerin etkin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kullanımı, ilacın zamanlamasına bağlıdır. Cerrahi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boyunca yara dokusunda etkin bir konsantrasyon elde etmek için, CEFAKS ameliyattan 1 ila 1,5 saat önce uygulanmalıdır. Cerrahi prosedürün daha uzun sürmesi bekleniyorsa,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prosedür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sırasında doz tekrarlanabilir. </w:t>
      </w:r>
    </w:p>
    <w:p w:rsidR="002A1B53" w:rsidRPr="00B82F4C" w:rsidRDefault="002A1B53" w:rsidP="008F12A2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B53" w:rsidRPr="00B82F4C" w:rsidRDefault="002A1B53" w:rsidP="008F12A2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Normalde cerrahi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prosedürden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sonra ilacın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olarak uygulanması gerekmemektedir. Ancak,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profilaktik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uygulama cerrahi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prosedürden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sonra 24 saat içerisinde durdurulmalıdır. Açık kalp ameliyatında, CEFAKS’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perioperatif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kullanımı, ameliyat bölgesinde ciddi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riski taşıyan hastalarda etkindir. Bu hastalarda CEFAKS tedavisinin ameliyat sonrasında 48 saate kadar uzatılması tavsiye edilmektedir. Enfeksiyon durumunda, ilgili mikroorganizmanın tanımlanması ve uygun antibiyotik tedavisine başlanması için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kültivasyon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amaçlı numune alınmalıdır.</w:t>
      </w:r>
    </w:p>
    <w:p w:rsidR="002A1B53" w:rsidRPr="00B82F4C" w:rsidRDefault="002A1B53" w:rsidP="008F12A2">
      <w:pPr>
        <w:tabs>
          <w:tab w:val="left" w:pos="907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 ve uygulama şekli</w:t>
      </w:r>
    </w:p>
    <w:p w:rsidR="002257F6" w:rsidRPr="00B82F4C" w:rsidRDefault="002257F6" w:rsidP="008F12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 sodyum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enjektabl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intravenöz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 (i.v.) ve/veya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intramüsküler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 (i.m.) uygulamalar için kullanılır.</w:t>
      </w:r>
    </w:p>
    <w:p w:rsidR="002257F6" w:rsidRPr="00B82F4C" w:rsidRDefault="002257F6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Pozoloji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>/uygulama sıklığı ve süresi:</w:t>
      </w:r>
    </w:p>
    <w:p w:rsidR="002257F6" w:rsidRPr="00B82F4C" w:rsidRDefault="002257F6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Yetişkinlerde: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>Genel kullanım:</w:t>
      </w:r>
      <w:r w:rsidRPr="00B82F4C">
        <w:rPr>
          <w:rFonts w:ascii="Times New Roman" w:hAnsi="Times New Roman" w:cs="Times New Roman"/>
          <w:sz w:val="24"/>
          <w:szCs w:val="24"/>
        </w:rPr>
        <w:t xml:space="preserve"> Birçok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günde üç kez i.m. ya da i.v. yol ile 750 mg enjeksiyona cevap verecektir. Daha ağır enfeksiyonlarda bu doz günde 3 kez i.v. yol ile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gr' a kadar artırılmalıdır; i.m. ya da i.v. enjeksiyonlar eğer gerekirse günlük 3 ila 6 g total doz verilerek 6 saatlik aralarda yapılabilir. Klinik olarak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endike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olduğunda bazı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günde iki kez 1.5g ya da 750mg (i.v ya da i.m)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uygulamanın ardından oral tedaviye cevap verir.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iCs/>
          <w:sz w:val="24"/>
          <w:szCs w:val="24"/>
        </w:rPr>
        <w:t>Gonore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Gonorede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g tek doz olarak verilmelidir. Bu, farklı yerlerden örneğin her bir kalçadan 2 x 750 mg şeklinde yapılabilir.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Menenjit: </w:t>
      </w:r>
      <w:r w:rsidRPr="00B82F4C">
        <w:rPr>
          <w:rFonts w:ascii="Times New Roman" w:hAnsi="Times New Roman" w:cs="Times New Roman"/>
          <w:sz w:val="24"/>
          <w:szCs w:val="24"/>
        </w:rPr>
        <w:t xml:space="preserve">CEFAKS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duyarlı türlerin sebep olduğu bakteriyel menenjitin tedavisi için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F4C">
        <w:rPr>
          <w:rFonts w:ascii="Times New Roman" w:hAnsi="Times New Roman" w:cs="Times New Roman"/>
          <w:sz w:val="24"/>
          <w:szCs w:val="24"/>
        </w:rPr>
        <w:t>uygundur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>. Erişkinler için tavsiye edilen doz her sekiz saatte bir i.v. olarak 3g.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Profilaksi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>:</w:t>
      </w:r>
      <w:r w:rsidRPr="00B82F4C">
        <w:rPr>
          <w:rFonts w:ascii="Times New Roman" w:hAnsi="Times New Roman" w:cs="Times New Roman"/>
          <w:sz w:val="24"/>
          <w:szCs w:val="24"/>
        </w:rPr>
        <w:t xml:space="preserve"> Genellikle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pelvik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 ortopedik operasyonlar için doz, anestezinin indüksiyon safhasında i.v. olarak 1.5g'dır. Buna, 8 ve 16 saat sonra i.m. olarak iki kez daha 750mg'lık dozlar ilave edilebilir. Kardiyak,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pulmoner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özofajiyel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operasyonlarda genel doz anestezinin indüksiyon safhasında i.v. olarak 1.5g ve daha sonraki 24 ila 48 saat içinde günde üç kez 750 mg i.m. olarak devam ettirilir.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Artroplasti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(Total eklem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replasmanı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) ameliyatlarında: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Likid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monomer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ilavesinden önce kuru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metilmetakrilat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alçısının her paketine total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toz ilave edilebilir.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>Ardışık tedavi:</w:t>
      </w:r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Pnömoni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: 48-72 saat, günde iki kez 1.5g (i.v ya da i.m)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enjeksiyonu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takiben</w:t>
      </w:r>
      <w:r w:rsidR="003E5F14" w:rsidRPr="00B82F4C">
        <w:rPr>
          <w:rFonts w:ascii="Times New Roman" w:hAnsi="Times New Roman" w:cs="Times New Roman"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tedaviye 7-10 gün, günde iki kez 500mg CEFAKS 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aksetil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) ile oral yoldan devam</w:t>
      </w:r>
      <w:r w:rsidR="003E5F14" w:rsidRPr="00B82F4C">
        <w:rPr>
          <w:rFonts w:ascii="Times New Roman" w:hAnsi="Times New Roman" w:cs="Times New Roman"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 xml:space="preserve">edilir. 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lastRenderedPageBreak/>
        <w:t>Kronik bronşitin akut alevlenmeleri:</w:t>
      </w:r>
      <w:r w:rsidRPr="00B82F4C">
        <w:rPr>
          <w:rFonts w:ascii="Times New Roman" w:hAnsi="Times New Roman" w:cs="Times New Roman"/>
          <w:sz w:val="24"/>
          <w:szCs w:val="24"/>
        </w:rPr>
        <w:t xml:space="preserve"> 48-72 saat, günde iki kez 750 mg (i.v ya da i.m)</w:t>
      </w:r>
      <w:r w:rsidR="003E5F14"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enjeksiyonu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takiben tedaviye 5-10gün, günde iki kez 500mg CEFAKS 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aksetil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) ile</w:t>
      </w:r>
      <w:r w:rsidR="003E5F14" w:rsidRPr="00B82F4C">
        <w:rPr>
          <w:rFonts w:ascii="Times New Roman" w:hAnsi="Times New Roman" w:cs="Times New Roman"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 xml:space="preserve">oral yoldan devam edilir.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 oral tedavinin süresi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</w:t>
      </w:r>
      <w:r w:rsidR="003E5F14" w:rsidRPr="00B82F4C">
        <w:rPr>
          <w:rFonts w:ascii="Times New Roman" w:hAnsi="Times New Roman" w:cs="Times New Roman"/>
          <w:sz w:val="24"/>
          <w:szCs w:val="24"/>
        </w:rPr>
        <w:t>nfeksiyonun</w:t>
      </w:r>
      <w:proofErr w:type="gramEnd"/>
      <w:r w:rsidR="003E5F14" w:rsidRPr="00B82F4C">
        <w:rPr>
          <w:rFonts w:ascii="Times New Roman" w:hAnsi="Times New Roman" w:cs="Times New Roman"/>
          <w:sz w:val="24"/>
          <w:szCs w:val="24"/>
        </w:rPr>
        <w:t xml:space="preserve"> şiddeti ve hastanın </w:t>
      </w:r>
      <w:r w:rsidRPr="00B82F4C">
        <w:rPr>
          <w:rFonts w:ascii="Times New Roman" w:hAnsi="Times New Roman" w:cs="Times New Roman"/>
          <w:sz w:val="24"/>
          <w:szCs w:val="24"/>
        </w:rPr>
        <w:t>klinik durumu tarafından belirlenir.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4C">
        <w:rPr>
          <w:rFonts w:ascii="Times New Roman" w:hAnsi="Times New Roman" w:cs="Times New Roman"/>
          <w:b/>
          <w:sz w:val="24"/>
          <w:szCs w:val="24"/>
        </w:rPr>
        <w:t>Çocuklarda: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>Genel Kullanım:</w:t>
      </w:r>
      <w:r w:rsidRPr="00B82F4C">
        <w:rPr>
          <w:rFonts w:ascii="Times New Roman" w:hAnsi="Times New Roman" w:cs="Times New Roman"/>
          <w:sz w:val="24"/>
          <w:szCs w:val="24"/>
        </w:rPr>
        <w:t xml:space="preserve"> Bebek ve çocuklarda 30 ila 100 mg/kg/günlük dozlar üçe ya da dörde bölünerek verilir. Çoğu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için 60 mg/kg/günlük doz yeterli olacaktır. Yeni doğanlarda 30 ila 100 mg/kg/günlük dozlar iki ya da üçe bölünerek verilir.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>Menenjit:</w:t>
      </w:r>
      <w:r w:rsidRPr="00B82F4C">
        <w:rPr>
          <w:rFonts w:ascii="Times New Roman" w:hAnsi="Times New Roman" w:cs="Times New Roman"/>
          <w:sz w:val="24"/>
          <w:szCs w:val="24"/>
        </w:rPr>
        <w:t xml:space="preserve"> Bebek ve çocuklarda 150 ila 250 mg/kg/günlük i.v dozlar üçe ya da dörde bölünerek verilir. Yeni doğan bebeklerde günlük doz 100mg/kg i.v olmalıdır.</w:t>
      </w:r>
    </w:p>
    <w:p w:rsidR="002257F6" w:rsidRPr="00B82F4C" w:rsidRDefault="002257F6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7F6" w:rsidRPr="00B82F4C" w:rsidRDefault="002257F6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Uygulama şekli: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İntramüsküler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: 250 mg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sodyuma 1 ml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enjeksiyonluk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su veya 750 mg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sodyuma 3 ml enjeksiyonluk su ekleyin. Hafifçe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opak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bir süspansiyon oluşuncaya kadar çalkalayınız.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: CEFAKS 250 mg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için en az 2 ml, CEFAKS 750 mg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için en az 6 ml ve CEFAKS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için en az 15 ml Enjeksiyonluk Su kullanarak CEFAKS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enjektablı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çözünüz.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İntravenöz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g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sodyumu, 15 ml enjeksiyonluk suda çözündürün. Sulandırılan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sodyumu, 50 veya 100 ml geçimli bir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infüzyon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sıvısına ekleyin. Bu çözeltiler doğrudan damara uygulanabilir veya hastaya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sıvılar veriliyorsa takılan set içine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zerkedilerek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hastaya verilebilir.</w:t>
      </w:r>
    </w:p>
    <w:p w:rsidR="002257F6" w:rsidRPr="00B82F4C" w:rsidRDefault="002257F6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7F6" w:rsidRPr="00B82F4C" w:rsidRDefault="002257F6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Özel </w:t>
      </w:r>
      <w:proofErr w:type="gram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popülasyonlara</w:t>
      </w:r>
      <w:proofErr w:type="gramEnd"/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 ilişkin ek bilgiler:</w:t>
      </w:r>
    </w:p>
    <w:p w:rsidR="002257F6" w:rsidRPr="00B82F4C" w:rsidRDefault="002257F6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Böbrek yetmezliği: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fonksiyon bozukluğunda dozaj: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böbrekler ile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itrah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edilir. Bundan dolayı tüm böyle antibiyotiklerde olduğu gibi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fonksiyon bozukluğu olan hastalarda CEFAKS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dozajı onun yavaşlayan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itrahını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dengeleyecek şekilde azaltılarak tavsiye edilmelidir. Fakat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klirensi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20ml/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.'a veya altına düşünceye kadar, standart dozu (750mg-1.5g 3x1) düşürmek gerekli değildir. Belirgin yetersizliği olan erişkinlerde 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klirens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10 ila 20 ml/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.) günde 2 kez 750mg tavsiye edilir. Şiddetli yetmezlikte 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klirensi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&lt; 10 ml/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.) günde bir kez 750mg yeterlidir. Hemodiyalizdeki hastalar için her diyaliz sonunda ilave 750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mg'lık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doz i.v. veya i.m. olarak verilmelidir.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kullanıma ilaveten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peritonal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diyaliz sıvısına katılabilir (Genellikle her iki litre diyaliz sıvısına 250mg). Böbrek bozukluğu olan, yoğun tedavi ünitesinde devamlı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arteriyovenöz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hemodiyaliz ya da yüksek akışlı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hemofiltrasyondaki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hastalar için uygun olan doz günde iki kez 750mg’dır. Düşük akışlı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hemofiltrasyon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için böbrek fonksiyon bozukluğu altında önerilen dozaj takip edilmelidir.</w:t>
      </w:r>
    </w:p>
    <w:p w:rsidR="008F12A2" w:rsidRPr="00B82F4C" w:rsidRDefault="008F12A2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4C">
        <w:rPr>
          <w:rFonts w:ascii="Times New Roman" w:hAnsi="Times New Roman" w:cs="Times New Roman"/>
          <w:b/>
          <w:sz w:val="24"/>
          <w:szCs w:val="24"/>
        </w:rPr>
        <w:t>Karaciğer yetmezliği: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Veri yoktur.</w:t>
      </w:r>
    </w:p>
    <w:p w:rsidR="008F12A2" w:rsidRPr="00B82F4C" w:rsidRDefault="008F12A2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7F6" w:rsidRPr="00B82F4C" w:rsidRDefault="002257F6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Pediyatrik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B82F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>Genel kullanım:</w:t>
      </w:r>
      <w:r w:rsidRPr="00B82F4C">
        <w:rPr>
          <w:rFonts w:ascii="Times New Roman" w:hAnsi="Times New Roman" w:cs="Times New Roman"/>
          <w:sz w:val="24"/>
          <w:szCs w:val="24"/>
        </w:rPr>
        <w:t xml:space="preserve"> Bebek ve çocuklarda</w:t>
      </w:r>
      <w:r w:rsidRPr="00B82F4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 xml:space="preserve">30 ila 100 mg/kg/günlük dozlar üçe ya da dörde bölünerek verilir. Çoğu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enfeksiyonlar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için 60 mg/kg/günlük doz yeterli olacaktır. Yeni doğanlarda 30 ila 100 mg/kg/günlük dozlar iki ya da üçe bölünerek verilir.</w:t>
      </w:r>
    </w:p>
    <w:p w:rsidR="002257F6" w:rsidRPr="00B82F4C" w:rsidRDefault="002257F6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>Menenjit:</w:t>
      </w:r>
      <w:r w:rsidRPr="00B82F4C">
        <w:rPr>
          <w:rFonts w:ascii="Times New Roman" w:hAnsi="Times New Roman" w:cs="Times New Roman"/>
          <w:sz w:val="24"/>
          <w:szCs w:val="24"/>
        </w:rPr>
        <w:t xml:space="preserve"> Bebek ve çocuklarda 150 ila 250 mg/kg/günlük i.v dozlar üçe ya da dörde bölünerek verilir. Yeni doğan bebeklerde günlük doz 100 mg/kg i.v olmalıdır.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Geriyatrik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82F4C">
        <w:rPr>
          <w:rFonts w:ascii="Times New Roman" w:hAnsi="Times New Roman" w:cs="Times New Roman"/>
          <w:sz w:val="24"/>
          <w:szCs w:val="24"/>
        </w:rPr>
        <w:t>Veri yoktur.</w:t>
      </w:r>
    </w:p>
    <w:p w:rsidR="002257F6" w:rsidRPr="00B82F4C" w:rsidRDefault="002257F6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Kontrendikasyonlar</w:t>
      </w:r>
      <w:proofErr w:type="spellEnd"/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Sefalosporin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antibiyotiklerine veya ürünün herhangi bir bileşenine karşı aşırı duyarlılığı bilinen hastalarda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Herhangi bir çeşit beta-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laktam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ajanlara (penisilin,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monobaktamlar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karbapenemler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) karşı şiddetli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hipersensitivite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(örn. anaf1aktik şok) geçmişi olan durumlarda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kontrendikedir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4.4. Özel kullanım uyarıları ve önlemleri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4C">
        <w:rPr>
          <w:rFonts w:ascii="Times New Roman" w:hAnsi="Times New Roman" w:cs="Times New Roman"/>
          <w:b/>
          <w:sz w:val="24"/>
          <w:szCs w:val="24"/>
        </w:rPr>
        <w:t>Penisilin veya diğer beta-</w:t>
      </w:r>
      <w:proofErr w:type="spellStart"/>
      <w:r w:rsidRPr="00B82F4C">
        <w:rPr>
          <w:rFonts w:ascii="Times New Roman" w:hAnsi="Times New Roman" w:cs="Times New Roman"/>
          <w:b/>
          <w:sz w:val="24"/>
          <w:szCs w:val="24"/>
        </w:rPr>
        <w:t>laktam</w:t>
      </w:r>
      <w:proofErr w:type="spellEnd"/>
      <w:r w:rsidRPr="00B82F4C">
        <w:rPr>
          <w:rFonts w:ascii="Times New Roman" w:hAnsi="Times New Roman" w:cs="Times New Roman"/>
          <w:b/>
          <w:sz w:val="24"/>
          <w:szCs w:val="24"/>
        </w:rPr>
        <w:t xml:space="preserve"> antibiyotiklere karşı alerjik reaksiyon geçirmiş hastalarda tedaviye başlamadan önce dikkatli bir değerlendirme yapılmalıdır. Beta </w:t>
      </w:r>
      <w:proofErr w:type="spellStart"/>
      <w:r w:rsidRPr="00B82F4C">
        <w:rPr>
          <w:rFonts w:ascii="Times New Roman" w:hAnsi="Times New Roman" w:cs="Times New Roman"/>
          <w:b/>
          <w:sz w:val="24"/>
          <w:szCs w:val="24"/>
        </w:rPr>
        <w:t>laktam</w:t>
      </w:r>
      <w:proofErr w:type="spellEnd"/>
      <w:r w:rsidRPr="00B82F4C">
        <w:rPr>
          <w:rFonts w:ascii="Times New Roman" w:hAnsi="Times New Roman" w:cs="Times New Roman"/>
          <w:b/>
          <w:sz w:val="24"/>
          <w:szCs w:val="24"/>
        </w:rPr>
        <w:t xml:space="preserve"> antibiyotiklere karşı çapraz aşırı duyarlılık reaksiyonu gelişebileceğinden penisilin alerjisi olan hastalara verildiğinde, bu hastaların % 10 kadarında çapraz aşırı duyarlılık reaksiyonu gelişebileceği bildirilmiştir. Klinik olarak anlamlı düzeyde alerjik reaksiyon gelişirse ilaç kullanımı kesilmeli ve uygun bir tedaviye başlanmalıdır. Ciddi ve akut </w:t>
      </w:r>
      <w:proofErr w:type="spellStart"/>
      <w:r w:rsidRPr="00B82F4C">
        <w:rPr>
          <w:rFonts w:ascii="Times New Roman" w:hAnsi="Times New Roman" w:cs="Times New Roman"/>
          <w:b/>
          <w:sz w:val="24"/>
          <w:szCs w:val="24"/>
        </w:rPr>
        <w:t>hipersensitivite</w:t>
      </w:r>
      <w:proofErr w:type="spellEnd"/>
      <w:r w:rsidRPr="00B82F4C">
        <w:rPr>
          <w:rFonts w:ascii="Times New Roman" w:hAnsi="Times New Roman" w:cs="Times New Roman"/>
          <w:b/>
          <w:sz w:val="24"/>
          <w:szCs w:val="24"/>
        </w:rPr>
        <w:t xml:space="preserve"> reaksiyonları geliştiğinde epinefrin tedavisi ve klinik olarak gerekli diğer acil uygulamaların (Oksijen, </w:t>
      </w:r>
      <w:proofErr w:type="spellStart"/>
      <w:r w:rsidRPr="00B82F4C">
        <w:rPr>
          <w:rFonts w:ascii="Times New Roman" w:hAnsi="Times New Roman" w:cs="Times New Roman"/>
          <w:b/>
          <w:sz w:val="24"/>
          <w:szCs w:val="24"/>
        </w:rPr>
        <w:t>intravenöz</w:t>
      </w:r>
      <w:proofErr w:type="spellEnd"/>
      <w:r w:rsidRPr="00B82F4C">
        <w:rPr>
          <w:rFonts w:ascii="Times New Roman" w:hAnsi="Times New Roman" w:cs="Times New Roman"/>
          <w:b/>
          <w:sz w:val="24"/>
          <w:szCs w:val="24"/>
        </w:rPr>
        <w:t xml:space="preserve"> sıvılar, </w:t>
      </w:r>
      <w:proofErr w:type="spellStart"/>
      <w:r w:rsidRPr="00B82F4C">
        <w:rPr>
          <w:rFonts w:ascii="Times New Roman" w:hAnsi="Times New Roman" w:cs="Times New Roman"/>
          <w:b/>
          <w:sz w:val="24"/>
          <w:szCs w:val="24"/>
        </w:rPr>
        <w:t>intravenöz</w:t>
      </w:r>
      <w:proofErr w:type="spellEnd"/>
      <w:r w:rsidRPr="00B82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b/>
          <w:sz w:val="24"/>
          <w:szCs w:val="24"/>
        </w:rPr>
        <w:t>antihistaminler</w:t>
      </w:r>
      <w:proofErr w:type="spellEnd"/>
      <w:r w:rsidRPr="00B82F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b/>
          <w:sz w:val="24"/>
          <w:szCs w:val="24"/>
        </w:rPr>
        <w:t>kortikosteroidler</w:t>
      </w:r>
      <w:proofErr w:type="spellEnd"/>
      <w:r w:rsidRPr="00B82F4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b/>
          <w:sz w:val="24"/>
          <w:szCs w:val="24"/>
        </w:rPr>
        <w:t>presör</w:t>
      </w:r>
      <w:proofErr w:type="spellEnd"/>
      <w:r w:rsidRPr="00B82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82F4C">
        <w:rPr>
          <w:rFonts w:ascii="Times New Roman" w:hAnsi="Times New Roman" w:cs="Times New Roman"/>
          <w:b/>
          <w:sz w:val="24"/>
          <w:szCs w:val="24"/>
        </w:rPr>
        <w:t>aminler</w:t>
      </w:r>
      <w:proofErr w:type="gramEnd"/>
      <w:r w:rsidRPr="00B82F4C">
        <w:rPr>
          <w:rFonts w:ascii="Times New Roman" w:hAnsi="Times New Roman" w:cs="Times New Roman"/>
          <w:b/>
          <w:sz w:val="24"/>
          <w:szCs w:val="24"/>
        </w:rPr>
        <w:t>, hava yollarına uygulanacak işlemler gibi uygulamalar) yapılması gerekli olabilir.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Yüksek dozda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sefalosporinlerle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eş zamanlı olarak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frusemid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aminoglikositler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gibi güçlü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diüretik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tedavisi gören hastalarda böbrek yetmezliği bildirildiğinden dolayı, bu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kombinasyonun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kullanımında dikkatli olunmalıdır. Bu hastalarda, yaşlılarda ve daha önceden böbrek yetmezliği olan hastalarda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fonksiyon kontrol edilmelidir (</w:t>
      </w:r>
      <w:r w:rsidRPr="00B82F4C">
        <w:rPr>
          <w:rFonts w:ascii="Times New Roman" w:hAnsi="Times New Roman" w:cs="Times New Roman"/>
          <w:i/>
          <w:sz w:val="24"/>
          <w:szCs w:val="24"/>
        </w:rPr>
        <w:t>Bkz: Kullanım Sekli ve Dozu</w:t>
      </w:r>
      <w:r w:rsidRPr="00B82F4C">
        <w:rPr>
          <w:rFonts w:ascii="Times New Roman" w:hAnsi="Times New Roman" w:cs="Times New Roman"/>
          <w:sz w:val="24"/>
          <w:szCs w:val="24"/>
        </w:rPr>
        <w:t>).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Menenjit tedavisinde kullanılan diğer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rejimlerde olduğu gibi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sodyum ile tedavi edilen az sayıda hastada hafif veya orta derecede işitme kaybı bildirilmiştir.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Diğer antibiyotik tedavilerinde olduğu gibi,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sodyum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enjeksiyonu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ile 18 ve 36’ıncı saatlerde yapılan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serebrospinal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sıvı kültürlerinde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influenzaenın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pozitif olmaya devam ettiği görülmüştür, bununla beraber bu olayın klinik önemi bilinmemektedir.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Ardışık tedavi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protokolunda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oral tedaviye geçisin zamanı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enfeksiyonun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ciddiyetine, hastanın klinik durumuna ve şüphelenilen patojenlere göre değişiklik gösterir. Eğer 72 saat içinde klinik düzelme görülmezse tedavi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parenteral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olarak devam ettirilmelidir.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CEFAKS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glikozüri için yapılan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enzimatik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esasa dayanan testleri bozmaz. 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Bakırın indirgenmesine dayanan 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Benedict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Fehling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Clinitest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metodları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hafifçe etkileyebilir. Bununla birlikte bu diğer bazı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sefalosporinlerde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olduğu gibi hatalı pozitif sonuçlara neden olmaz.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lastRenderedPageBreak/>
        <w:t>Ferrisiyanür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testinde hatalı negatif sonuç çıkabileceğinden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sodyum alan hastalarda kan/plazma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seviyesinin tespiti için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oksidaz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hekzokinaz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kullanımı önerilmektedir.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Diğer antibiyotikler ile de olabildiği gibi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kullanılması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Candida</w:t>
      </w:r>
      <w:r w:rsidRPr="00B82F4C">
        <w:rPr>
          <w:rFonts w:ascii="Times New Roman" w:hAnsi="Times New Roman" w:cs="Times New Roman"/>
          <w:sz w:val="24"/>
          <w:szCs w:val="24"/>
        </w:rPr>
        <w:t>'nın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aşırı üremesi ile sonuçlanabilir. Uzun süreli kullanım ise aynı zamanda duyarlı-olmayan mikro organizmaların (örn,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enterokoklar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Clostridium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) aşırı çoğalmasına neden olabilir, bu durum tedavinin kesilmesini gerektirebilir.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Antibiyotik kullanımı ile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kolit bildirilmiştir ve şiddeti hafiften, hayatı tehdit edici seviyeye kadar değişebilir. Bu nedenle, antibiyotik kullanımı sırasında veya sonrasında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diyare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gelişen hastalarda bu tanının dikkate alınması önemlidir.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kolit tanısını takiben uygun bir tedaviye başlanmalıdır. Hafif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kolit vakaları genellikle sadece ilaç kullanımının kesilmesine yanıt verirler. Ancak orta dereceli ve şiddetli vakalarda sıvı ve elektrolit uygulamaları, protein takviyesi,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Clostridium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difficile'ye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karşı etkili antibiyotik kullanımı gibi yöntemlerin kullanılması gerekli olabilir. Uzun süreli veya şiddetli ishal olması veya hastada karın krampları görülmesi durumunda tedavi derhal kesilmeli ve hasta ileri düzeyde araştırılmalıdır.</w:t>
      </w:r>
    </w:p>
    <w:p w:rsidR="00FF47EC" w:rsidRPr="00B82F4C" w:rsidRDefault="00FF47E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Bu t</w:t>
      </w:r>
      <w:r w:rsidRPr="00B82F4C">
        <w:rPr>
          <w:rFonts w:ascii="Times New Roman" w:hAnsi="Times New Roman" w:cs="Times New Roman" w:hint="eastAsia"/>
          <w:sz w:val="24"/>
          <w:szCs w:val="24"/>
        </w:rPr>
        <w:t>ı</w:t>
      </w:r>
      <w:r w:rsidRPr="00B82F4C">
        <w:rPr>
          <w:rFonts w:ascii="Times New Roman" w:hAnsi="Times New Roman" w:cs="Times New Roman"/>
          <w:sz w:val="24"/>
          <w:szCs w:val="24"/>
        </w:rPr>
        <w:t xml:space="preserve">bbi ürün her dozunda 1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(23 mg)</w:t>
      </w:r>
      <w:r w:rsidRPr="00B82F4C">
        <w:rPr>
          <w:rFonts w:ascii="Times New Roman" w:hAnsi="Times New Roman" w:cs="Times New Roman" w:hint="eastAsia"/>
          <w:sz w:val="24"/>
          <w:szCs w:val="24"/>
        </w:rPr>
        <w:t>’</w:t>
      </w:r>
      <w:r w:rsidRPr="00B82F4C">
        <w:rPr>
          <w:rFonts w:ascii="Times New Roman" w:hAnsi="Times New Roman" w:cs="Times New Roman"/>
          <w:sz w:val="24"/>
          <w:szCs w:val="24"/>
        </w:rPr>
        <w:t>den daha az sodyum ihtiva eder; yani esas</w:t>
      </w:r>
      <w:r w:rsidRPr="00B82F4C">
        <w:rPr>
          <w:rFonts w:ascii="Times New Roman" w:hAnsi="Times New Roman" w:cs="Times New Roman" w:hint="eastAsia"/>
          <w:sz w:val="24"/>
          <w:szCs w:val="24"/>
        </w:rPr>
        <w:t>ı</w:t>
      </w:r>
      <w:r w:rsidRPr="00B82F4C">
        <w:rPr>
          <w:rFonts w:ascii="Times New Roman" w:hAnsi="Times New Roman" w:cs="Times New Roman"/>
          <w:sz w:val="24"/>
          <w:szCs w:val="24"/>
        </w:rPr>
        <w:t>nda ‘sodyum içermez’.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4.5. Diğer tıbbi ürünler ile etkileşimler ve diğer etkileşim şekilleri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Diğer antibiyotikler ile de olduğu gibi,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bağırsak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florasını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etkileyerek östrojen emiliminin ve kombine oral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kontraseptiflerin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etkilerinin azalmasına neden olabilir.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CEFAKS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enjektabl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glikozüri için yapılan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enzimatik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esasa dayanan testleri bozmaz. 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Bakırın indirgenmesine dayanan 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Benedict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Fehling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Clinitest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metodları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hafifçe etkileyebilir. Bununla birlikte bu diğer bazı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sefalosporinlerde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olduğu gibi hatalı pozitif sonuçlara neden olmaz.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glomerüler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filtrasyon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sekresyon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ile atılır. Eşzamanlı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probenisid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kullanımı önerilmemektedir. Eşzamanlı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probenesid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kullanımı,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atılımını uzatır ve yüksek pik serum seviyesi verir. 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Eşzamanlı oral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antikoagülan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kullanımı artmış Uluslararası Normalleştirilmiş Oran (INR)'ye yol açabilir.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Yüksek dozda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sefalosporinlerle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eş zamanlı olarak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furosemid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gibi güçlü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diüretiklerin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aminoglikositler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gibi potansiyel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nefrotoksik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preparasyonlarla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tedavi gören hastalarda böbrek yetmezliği bildirildiğinden dolayı, bu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kombinasyonun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kullanımında dikkatli olunmalıdır.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Ferrisiyanür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testinde hatalı negatif sonuç çıkabileceğinden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sodyum alan hastalarda kan/plazma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seviyesinin tespiti için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oksidaz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hekzokinaz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kullanımı önerilmektedir.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sodyum alan hastalarda kan/plazma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seviyelerini tayin için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oksidaz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heksokinaz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metodları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kullanılması tavsiye edilir.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Alkalin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pikrat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ile yapılan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miktar tayinini etkilemez.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4.6. Gebelik ve </w:t>
      </w: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Genel tavsiye</w:t>
      </w: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Gebelik Kategorisi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B’dir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Çocuk doğurma potansiyeli bulunan kadınlar/Doğum kontrolü (</w:t>
      </w: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Kontrasepsiyon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3E5F14" w:rsidRPr="00B82F4C" w:rsidRDefault="003E5F14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Diğer antibiyotikler ile de olduğu gibi,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bağırsak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florasını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etkileyerek östrojen emiliminin ve kombine oral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kontraseptiflerin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etkilerinin azalmasına neden olabilir.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Gebelik dönemi </w:t>
      </w:r>
    </w:p>
    <w:p w:rsidR="003E5F14" w:rsidRPr="00B82F4C" w:rsidRDefault="003E5F14" w:rsidP="008F12A2">
      <w:pPr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 xml:space="preserve">Hamile kadınlarda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sefuroksim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kullanımı ile ilgili sınırlı veri bulunmaktadır. Hayvanlar üzerinde yapılan çalışmalar gebelik/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embriyonal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>/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fetal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gelişim/doğum ya da doğum sonrası gelişim ile ilgili olarak doğrudan ya da dolaylı zararlı etkiler olduğunu göstermemektedir. Gebe kadınlara verilirken tedbirli olunmalıdır.</w:t>
      </w:r>
    </w:p>
    <w:p w:rsidR="003E5F14" w:rsidRPr="00B82F4C" w:rsidRDefault="003E5F14" w:rsidP="008F12A2">
      <w:pPr>
        <w:spacing w:after="0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B82F4C">
        <w:rPr>
          <w:rFonts w:ascii="Times-Roman" w:hAnsi="Times-Roman" w:cs="Times-Roman"/>
          <w:sz w:val="24"/>
          <w:szCs w:val="24"/>
        </w:rPr>
        <w:t>Sefuroksimin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intramüsküler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veya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intravenöz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yolla anneye verilmesini takiben plasentayı geçip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amniyotik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sıvıda ve kordon kanında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terapötik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seviyelere eriştiği gösterilmiştir.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 dönemi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az miktarlarda insan sütü ile de atılır.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dozlarda alındığında ishal ve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mukoz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membranlarda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mantar riski dışında istenmeyen etki görülmesi beklenmemektedir.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ile tedavi sırasında emzirmeye devam edilip edilmeyeceği ya da tedavinin durdurulup durdurulmayacağına fayda/zarar değerlendirmesinin dikkatlice yapılması sonucu karar verilmelidir.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Üreme yeteneği/</w:t>
      </w: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Fertilite</w:t>
      </w:r>
      <w:proofErr w:type="spellEnd"/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Veri yoktur.</w:t>
      </w:r>
    </w:p>
    <w:p w:rsidR="003E5F14" w:rsidRPr="00B82F4C" w:rsidRDefault="003E5F14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4.7. Araç ve </w:t>
      </w: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makina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 kullanımı üzerindeki etkiler</w:t>
      </w:r>
    </w:p>
    <w:p w:rsidR="00B749F5" w:rsidRPr="00B82F4C" w:rsidRDefault="008D6FDA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B</w:t>
      </w:r>
      <w:r w:rsidR="00B749F5" w:rsidRPr="00B82F4C">
        <w:rPr>
          <w:rFonts w:ascii="Times New Roman" w:hAnsi="Times New Roman" w:cs="Times New Roman"/>
          <w:sz w:val="24"/>
          <w:szCs w:val="24"/>
        </w:rPr>
        <w:t>ildirilmemiştir.</w:t>
      </w:r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6FDA" w:rsidRPr="00B82F4C" w:rsidRDefault="008D6FDA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4.8. İstenmeyen etkiler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BA9" w:rsidRPr="00B82F4C">
        <w:rPr>
          <w:rFonts w:ascii="Times New Roman" w:hAnsi="Times New Roman" w:cs="Times New Roman"/>
          <w:sz w:val="24"/>
          <w:szCs w:val="24"/>
        </w:rPr>
        <w:t>aksetilin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yan etkileri genellikle hafif ve geçici özelliktedir.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En yaygın istenmeyen etkiler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karaciğer enzimlerinde veya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bilirubinde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özellikle öncesinde karaciğer hastalığı bulunan hastalarda geçici artıştır. Ancak karaciğer hasarı ya da uygulama bölgesinde reaksiyona dair herhangi bir kanıt bulunmamaktadır.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Yan etkiler için belirlenen sıklık kategorileri tahminidir,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plasebo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kontrollü çalışmalarda da olduğu gibi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reaksiyonda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insidansı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hesaplamak için elverişli veri bulunmamaktadır. Ayrıca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BA9" w:rsidRPr="00B82F4C">
        <w:rPr>
          <w:rFonts w:ascii="Times New Roman" w:hAnsi="Times New Roman" w:cs="Times New Roman"/>
          <w:sz w:val="24"/>
          <w:szCs w:val="24"/>
        </w:rPr>
        <w:t>aksetile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bağlı yan etkilerin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insidansları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endikasyona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göre değişebilmektedir.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Çok yaygından seyreğe, istenmeyen etkilerin sıklıklarının belirlenmesinde klinik çalışmalardan elde edilen veriler kullanılmıştır. Bunun dışında kalan istenmeyen etkilerin sıklıkları (&lt;1/10000), esas olarak pazarlama sonrası deneyimlerden yola çıkarak belirlenmiştir ve rapor edilme oranına işaret etmektedir.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İstenmeyen etkiler aşağıdaki sıklık sınıflandırmasına göre sıralanmıştır.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Çok yaygın (≥1/10); 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Yaygın (1/100 ila 1/10); 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Yaygın olmayan (1/1.000 ila 1/100); 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Seyrek(1/10.000 ila &lt;1/1.000); 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lastRenderedPageBreak/>
        <w:t xml:space="preserve">Çok seyrek (&lt;1/10.000), 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Bilinmiyor (eldeki verilerden hareketle tahmin edilemiyor).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Enfeksiyon ve </w:t>
      </w: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enfestasyonlar</w:t>
      </w:r>
      <w:proofErr w:type="spellEnd"/>
    </w:p>
    <w:p w:rsidR="00954F1C" w:rsidRPr="00B82F4C" w:rsidRDefault="00954F1C" w:rsidP="008F12A2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Yaygın: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Candida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çoğalması,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Clostridium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çoğalması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Kan ve lenfatik sistem bozuklukları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Yaygın: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Eozinofili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, hemoglobin seviyesinde düşüş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Yaygın olmayan: Pozitif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Coomb’s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testi,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Seyrek: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anemi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Ba</w:t>
      </w:r>
      <w:r w:rsidRPr="00B82F4C">
        <w:rPr>
          <w:rFonts w:ascii="Times New Roman" w:hAnsi="Times New Roman" w:cs="Times New Roman"/>
          <w:sz w:val="24"/>
          <w:szCs w:val="24"/>
        </w:rPr>
        <w:t>ğ</w:t>
      </w:r>
      <w:r w:rsidRPr="00B82F4C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B82F4C">
        <w:rPr>
          <w:rFonts w:ascii="Times New Roman" w:hAnsi="Times New Roman" w:cs="Times New Roman"/>
          <w:sz w:val="24"/>
          <w:szCs w:val="24"/>
        </w:rPr>
        <w:t>ş</w:t>
      </w:r>
      <w:r w:rsidRPr="00B82F4C">
        <w:rPr>
          <w:rFonts w:ascii="Times New Roman" w:hAnsi="Times New Roman" w:cs="Times New Roman"/>
          <w:b/>
          <w:bCs/>
          <w:sz w:val="24"/>
          <w:szCs w:val="24"/>
        </w:rPr>
        <w:t>ıklık sistemi bozuklukları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Bilinmiyor: İlaç ateşi,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interstiliyal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nefrit,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anafilaksi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kutanöz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vasküliti</w:t>
      </w:r>
      <w:proofErr w:type="spellEnd"/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Gastrointestinal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 bozukluklar</w:t>
      </w:r>
    </w:p>
    <w:p w:rsidR="00954F1C" w:rsidRPr="00B82F4C" w:rsidRDefault="00954F1C" w:rsidP="008F12A2">
      <w:pPr>
        <w:tabs>
          <w:tab w:val="left" w:pos="226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Yaygın olmayan: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rahatsızlıklar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Psödomembranöz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kolit (</w:t>
      </w:r>
      <w:r w:rsidRPr="00B82F4C">
        <w:rPr>
          <w:rFonts w:ascii="Times New Roman" w:hAnsi="Times New Roman" w:cs="Times New Roman"/>
          <w:i/>
          <w:sz w:val="24"/>
          <w:szCs w:val="24"/>
        </w:rPr>
        <w:t xml:space="preserve">Bkz. </w:t>
      </w:r>
      <w:proofErr w:type="gramStart"/>
      <w:r w:rsidRPr="00B82F4C">
        <w:rPr>
          <w:rFonts w:ascii="Times New Roman" w:hAnsi="Times New Roman" w:cs="Times New Roman"/>
          <w:i/>
          <w:sz w:val="24"/>
          <w:szCs w:val="24"/>
        </w:rPr>
        <w:t>4.4</w:t>
      </w:r>
      <w:proofErr w:type="gramEnd"/>
      <w:r w:rsidRPr="00B82F4C">
        <w:rPr>
          <w:rFonts w:ascii="Times New Roman" w:hAnsi="Times New Roman" w:cs="Times New Roman"/>
          <w:i/>
          <w:sz w:val="24"/>
          <w:szCs w:val="24"/>
        </w:rPr>
        <w:t>. Özel kullanım uyarıları ve önlemleri</w:t>
      </w:r>
      <w:r w:rsidRPr="00B82F4C">
        <w:rPr>
          <w:rFonts w:ascii="Times New Roman" w:hAnsi="Times New Roman" w:cs="Times New Roman"/>
          <w:sz w:val="24"/>
          <w:szCs w:val="24"/>
        </w:rPr>
        <w:t>)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Hepato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bilier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 hastalıklar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Yaygın: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enzim düzeylerinde geçici yükselmeler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Yaygın olmayan: Serum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bilirubin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düzeylerinde geçici yükselmeler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Deri ve derialtı doku bozuklukları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Aşağıdakiler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olmak üzere aşırı duyarlılık reaksiyonları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Yaygın olmayan: Deri döküntüleri, ürtiker, kaşıntı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Bilinmiyor: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Eritem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multiforme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epidermal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nekroliz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ekzantematik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nekroliz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Johnson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anjiyonörotik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ödem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Böbrek ve idrar hastalıkları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Bilinmiyor: Serum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ve/veya kan, üre, azot değerlerinde yükselmeler ve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klirensinde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azalma gözlenmiştir (</w:t>
      </w:r>
      <w:r w:rsidRPr="00B82F4C">
        <w:rPr>
          <w:rFonts w:ascii="Times New Roman" w:hAnsi="Times New Roman" w:cs="Times New Roman"/>
          <w:i/>
          <w:sz w:val="24"/>
          <w:szCs w:val="24"/>
        </w:rPr>
        <w:t xml:space="preserve">Bkz. </w:t>
      </w:r>
      <w:proofErr w:type="gramStart"/>
      <w:r w:rsidRPr="00B82F4C">
        <w:rPr>
          <w:rFonts w:ascii="Times New Roman" w:hAnsi="Times New Roman" w:cs="Times New Roman"/>
          <w:i/>
          <w:sz w:val="24"/>
          <w:szCs w:val="24"/>
        </w:rPr>
        <w:t>4.4</w:t>
      </w:r>
      <w:proofErr w:type="gramEnd"/>
      <w:r w:rsidRPr="00B82F4C">
        <w:rPr>
          <w:rFonts w:ascii="Times New Roman" w:hAnsi="Times New Roman" w:cs="Times New Roman"/>
          <w:i/>
          <w:sz w:val="24"/>
          <w:szCs w:val="24"/>
        </w:rPr>
        <w:t>. Özel kullanım uyarıları ve önlemleri</w:t>
      </w:r>
      <w:r w:rsidRPr="00B82F4C">
        <w:rPr>
          <w:rFonts w:ascii="Times New Roman" w:hAnsi="Times New Roman" w:cs="Times New Roman"/>
          <w:sz w:val="24"/>
          <w:szCs w:val="24"/>
        </w:rPr>
        <w:t>)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Bkz. Bağışıklık sistemi bozuklukları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Genel bozukluklar ve uygulama bölgesine ili</w:t>
      </w:r>
      <w:r w:rsidRPr="00B82F4C">
        <w:rPr>
          <w:rFonts w:ascii="Times New Roman" w:hAnsi="Times New Roman" w:cs="Times New Roman"/>
          <w:sz w:val="24"/>
          <w:szCs w:val="24"/>
        </w:rPr>
        <w:t>ş</w:t>
      </w:r>
      <w:r w:rsidRPr="00B82F4C">
        <w:rPr>
          <w:rFonts w:ascii="Times New Roman" w:hAnsi="Times New Roman" w:cs="Times New Roman"/>
          <w:b/>
          <w:bCs/>
          <w:sz w:val="24"/>
          <w:szCs w:val="24"/>
        </w:rPr>
        <w:t>kin hastalıklar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bCs/>
          <w:sz w:val="24"/>
          <w:szCs w:val="24"/>
        </w:rPr>
        <w:t xml:space="preserve">Yaygın: </w:t>
      </w:r>
      <w:r w:rsidRPr="00B82F4C">
        <w:rPr>
          <w:rFonts w:ascii="Times New Roman" w:hAnsi="Times New Roman" w:cs="Times New Roman"/>
          <w:sz w:val="24"/>
          <w:szCs w:val="24"/>
        </w:rPr>
        <w:t xml:space="preserve">Enjeksiyon yerinde geçici ağrı ve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tromboflebit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olabilir. 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Sefalosporinler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 kırmızı hücre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membranlarının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 yüzeyine emilme ve pozitif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Coomb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 testine (bu da kanın çapraz eşleştirilmesini etkileyebilir) ve çok nadiren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hemolitik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 anemiye neden olacak şekilde ilaca karşı üretilen antikorlarla reaksiyona girme eğilimine sahip bir sınıftır.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F4C">
        <w:rPr>
          <w:rFonts w:ascii="Times New Roman" w:hAnsi="Times New Roman" w:cs="Times New Roman"/>
          <w:bCs/>
          <w:sz w:val="24"/>
          <w:szCs w:val="24"/>
        </w:rPr>
        <w:t>Serum karaciğer enzimlerinde geçici artışlar gözlenmiş olup, bunlar genellikle geri dönüşümlüdür.</w:t>
      </w:r>
    </w:p>
    <w:p w:rsidR="00954F1C" w:rsidRPr="00B82F4C" w:rsidRDefault="00954F1C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F4C">
        <w:rPr>
          <w:rFonts w:ascii="Times New Roman" w:hAnsi="Times New Roman" w:cs="Times New Roman"/>
          <w:bCs/>
          <w:sz w:val="24"/>
          <w:szCs w:val="24"/>
        </w:rPr>
        <w:t xml:space="preserve">Yüksek dozlarda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intramüsküler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 uygulama bölgesinde ağrı olabilir. Bu durum tedavinin durdurulması için bir neden değildir.</w:t>
      </w:r>
    </w:p>
    <w:p w:rsidR="00954F1C" w:rsidRPr="00B82F4C" w:rsidRDefault="00954F1C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F1C" w:rsidRPr="00B82F4C" w:rsidRDefault="00954F1C" w:rsidP="008F12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Şüpheli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  <w:u w:val="single"/>
        </w:rPr>
        <w:t>advers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reaksiyonların raporlanması</w:t>
      </w:r>
    </w:p>
    <w:p w:rsidR="00954F1C" w:rsidRPr="00B82F4C" w:rsidRDefault="00954F1C" w:rsidP="008F12A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2F4C">
        <w:rPr>
          <w:rFonts w:ascii="Times New Roman" w:hAnsi="Times New Roman" w:cs="Times New Roman"/>
          <w:bCs/>
          <w:sz w:val="24"/>
          <w:szCs w:val="24"/>
        </w:rPr>
        <w:t xml:space="preserve">Ruhsatlandırma sonrası şüpheli ilaç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advers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advers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 reaksiyonu Türkiye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Farmakovijilans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 Merkezi (TÜFAM)'ne bildirmeleri gerekmektedir. (www.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titck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 xml:space="preserve">.gov.tr;          e-posta: 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tufam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B82F4C">
        <w:rPr>
          <w:rFonts w:ascii="Times New Roman" w:hAnsi="Times New Roman" w:cs="Times New Roman"/>
          <w:bCs/>
          <w:sz w:val="24"/>
          <w:szCs w:val="24"/>
        </w:rPr>
        <w:t>titck</w:t>
      </w:r>
      <w:proofErr w:type="spellEnd"/>
      <w:r w:rsidRPr="00B82F4C">
        <w:rPr>
          <w:rFonts w:ascii="Times New Roman" w:hAnsi="Times New Roman" w:cs="Times New Roman"/>
          <w:bCs/>
          <w:sz w:val="24"/>
          <w:szCs w:val="24"/>
        </w:rPr>
        <w:t>.gov.tr; tel: 0 800 314 00 08; faks: 0 312 218 35 99)</w:t>
      </w:r>
    </w:p>
    <w:p w:rsidR="00954F1C" w:rsidRPr="00B82F4C" w:rsidRDefault="00954F1C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lastRenderedPageBreak/>
        <w:t>4.9. Doz aşımı ve tedavisi</w:t>
      </w:r>
    </w:p>
    <w:p w:rsidR="00954F1C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Sefalosporinler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aşırı dozda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serebral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irritasyon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sonucu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ensefalapati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konvülsiyon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 komaya neden olabilirler.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serum düzeyleri hemodiyalizle ya da periton diyalizi ile düşürülebilir.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5. FARMAKOLOJİK ÖZELLİKLER</w:t>
      </w: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5.1. Farmakodinamik özellikler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Farmakoterapötik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grup: İkinci kuşak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sefalosporinler</w:t>
      </w:r>
      <w:proofErr w:type="spellEnd"/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ATC kodu: J01D C02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, beta-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laktamaz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üreten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da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olmak üzere sık görülen patojenlerin geniş bir bölümüne karşı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bakterisidal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aktiviteye sahip, iyi karakterize edilmiş ve etkin bir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ajandır.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, bakteriyel beta-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laktamazlara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karşı iyi bir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gösterir ve sonuç olarak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ampisilin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amoksisiline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dirençli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suşların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pek çoğuna etkilidir.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önemli hedef proteinlere bağlanarak bakterilerde hücre duvarı sentezini önleyerek bakterisit etki gösterir.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Kazanılmış direnç sıklığı coğrafyaya ve zamana bağlıdır ve seçilmiş türler için çok yüksek olabilir. Özellikle şiddetli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enfeksiyonların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tedavisinde, yerel direnç bilgisi istenebilir. 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4C">
        <w:rPr>
          <w:rFonts w:ascii="Times New Roman" w:hAnsi="Times New Roman" w:cs="Times New Roman"/>
          <w:b/>
          <w:sz w:val="24"/>
          <w:szCs w:val="24"/>
        </w:rPr>
        <w:t xml:space="preserve">Mikroorganizmaların </w:t>
      </w:r>
      <w:proofErr w:type="spellStart"/>
      <w:r w:rsidRPr="00B82F4C">
        <w:rPr>
          <w:rFonts w:ascii="Times New Roman" w:hAnsi="Times New Roman" w:cs="Times New Roman"/>
          <w:b/>
          <w:sz w:val="24"/>
          <w:szCs w:val="24"/>
        </w:rPr>
        <w:t>Sefuroksime</w:t>
      </w:r>
      <w:proofErr w:type="spellEnd"/>
      <w:r w:rsidRPr="00B82F4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B82F4C">
        <w:rPr>
          <w:rFonts w:ascii="Times New Roman" w:hAnsi="Times New Roman" w:cs="Times New Roman"/>
          <w:b/>
          <w:sz w:val="24"/>
          <w:szCs w:val="24"/>
        </w:rPr>
        <w:t>vitro</w:t>
      </w:r>
      <w:proofErr w:type="spellEnd"/>
      <w:r w:rsidRPr="00B82F4C">
        <w:rPr>
          <w:rFonts w:ascii="Times New Roman" w:hAnsi="Times New Roman" w:cs="Times New Roman"/>
          <w:b/>
          <w:sz w:val="24"/>
          <w:szCs w:val="24"/>
        </w:rPr>
        <w:t xml:space="preserve"> duyarlılığı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Sefuroksimin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klinik etkililiğinin klinik çalışmalarda gösterilmiş durumlar asteriks (*) ile işaretlenmiştir. 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4C">
        <w:rPr>
          <w:rFonts w:ascii="Times New Roman" w:hAnsi="Times New Roman" w:cs="Times New Roman"/>
          <w:b/>
          <w:sz w:val="24"/>
          <w:szCs w:val="24"/>
        </w:rPr>
        <w:t>Sıklıkla Duyarlı Olan Türler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 xml:space="preserve">Gram Pozitif </w:t>
      </w: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Aeroblar</w:t>
      </w:r>
      <w:proofErr w:type="spellEnd"/>
      <w:r w:rsidRPr="00B82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Streptococcus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pyogenes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*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Beta-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hemolitik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streptokoklar 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 xml:space="preserve">Gram Negatif </w:t>
      </w: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Aeroblar</w:t>
      </w:r>
      <w:proofErr w:type="spellEnd"/>
      <w:r w:rsidRPr="00B82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Ampisiline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dirençli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suşları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da içeren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Haemophilus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influenzae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Haemophilus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parainfluenzae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*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Moraxella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catarrhalis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*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Penisilinaz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üreten ve üretmeyen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suşları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da içeren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Neisseria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gonorrhoeae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* 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Neisseria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meningitidis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Shigella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.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 xml:space="preserve">Gram Pozitif </w:t>
      </w: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Anaeroblar</w:t>
      </w:r>
      <w:proofErr w:type="spellEnd"/>
      <w:r w:rsidRPr="00B82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Peptostreptococcus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spp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Propionibacterium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spp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Spiroketler</w:t>
      </w:r>
      <w:proofErr w:type="spellEnd"/>
      <w:r w:rsidRPr="00B82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Borrelia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burgdorferi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*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4C">
        <w:rPr>
          <w:rFonts w:ascii="Times New Roman" w:hAnsi="Times New Roman" w:cs="Times New Roman"/>
          <w:b/>
          <w:sz w:val="24"/>
          <w:szCs w:val="24"/>
        </w:rPr>
        <w:t>Edinilmiş direnç problemi olabilecek mikro-organizmalar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 xml:space="preserve">Gram Pozitif </w:t>
      </w: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Aeroblar</w:t>
      </w:r>
      <w:proofErr w:type="spellEnd"/>
      <w:r w:rsidRPr="00B82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 xml:space="preserve">S.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aureus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 xml:space="preserve">(sadece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metisiline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duyarlı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izolatlar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) da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olmak üzere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Staphylococcus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. * 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lastRenderedPageBreak/>
        <w:t>Streptococcus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*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Viridans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grubu streptokok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 xml:space="preserve">Gram Negatif </w:t>
      </w: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Aeroblar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proofErr w:type="spellStart"/>
      <w:r w:rsidRPr="00B82F4C">
        <w:rPr>
          <w:rFonts w:ascii="Times New Roman" w:hAnsi="Times New Roman" w:cs="Times New Roman"/>
          <w:i/>
          <w:iCs/>
          <w:sz w:val="23"/>
          <w:szCs w:val="23"/>
        </w:rPr>
        <w:t>Bordetella</w:t>
      </w:r>
      <w:proofErr w:type="spellEnd"/>
      <w:r w:rsidRPr="00B82F4C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iCs/>
          <w:sz w:val="23"/>
          <w:szCs w:val="23"/>
        </w:rPr>
        <w:t>perrussis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freundii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hariç</w:t>
      </w:r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Citrobacter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>.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aerogenes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ve</w:t>
      </w:r>
      <w:r w:rsidRPr="00B82F4C">
        <w:rPr>
          <w:rFonts w:ascii="Times New Roman" w:hAnsi="Times New Roman" w:cs="Times New Roman"/>
          <w:i/>
          <w:sz w:val="24"/>
          <w:szCs w:val="24"/>
        </w:rPr>
        <w:t xml:space="preserve"> E.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cloacae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hariç</w:t>
      </w:r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>.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Escherichia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co1i*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 xml:space="preserve">K.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pneumoniae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Klebsiella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>. *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mirabilis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penneri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ve P.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hariç</w:t>
      </w:r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>.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Providencia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>.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Salmonella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>.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 xml:space="preserve">Gram Pozitif </w:t>
      </w: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Anaeroblar</w:t>
      </w:r>
      <w:proofErr w:type="spellEnd"/>
      <w:r w:rsidRPr="00B82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hariç</w:t>
      </w:r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Clostridium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türleri; 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 xml:space="preserve">Gram Negatif </w:t>
      </w: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Anaeroblar</w:t>
      </w:r>
      <w:proofErr w:type="spellEnd"/>
      <w:r w:rsidRPr="00B82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 xml:space="preserve">B.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fragilis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hariç</w:t>
      </w:r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Bacteroides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Fusobacterium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4C">
        <w:rPr>
          <w:rFonts w:ascii="Times New Roman" w:hAnsi="Times New Roman" w:cs="Times New Roman"/>
          <w:b/>
          <w:sz w:val="24"/>
          <w:szCs w:val="24"/>
        </w:rPr>
        <w:t>Kalıtımsal olarak dirençli mikroorganizmalar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 xml:space="preserve">Gram Pozitif </w:t>
      </w: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Aeroblar</w:t>
      </w:r>
      <w:proofErr w:type="spellEnd"/>
      <w:r w:rsidRPr="00B82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faecalis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ve E.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faeciuın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Enterococcus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türleri; 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Listeria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monocytogenes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 xml:space="preserve">Gram Negatif </w:t>
      </w: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Aeroblar</w:t>
      </w:r>
      <w:proofErr w:type="spellEnd"/>
      <w:r w:rsidRPr="00B82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Acinetobacter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Burkholderia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cepacia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Campylobacter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spp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Citrobacter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freundii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aerogenes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Enterobacter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cloacae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Morganella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morganii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penneri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Proteus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vulgaris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aeruginosa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82F4C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Pseudomonas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spp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Serratia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spp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Stenotrophomonas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maltophilia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 xml:space="preserve">Gram Pozitif </w:t>
      </w: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Anaeroblar</w:t>
      </w:r>
      <w:proofErr w:type="spellEnd"/>
      <w:r w:rsidRPr="00B82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Clostridium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difficile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 xml:space="preserve">Gram Negatif </w:t>
      </w:r>
      <w:proofErr w:type="spellStart"/>
      <w:r w:rsidRPr="00B82F4C">
        <w:rPr>
          <w:rFonts w:ascii="Times New Roman" w:hAnsi="Times New Roman" w:cs="Times New Roman"/>
          <w:sz w:val="24"/>
          <w:szCs w:val="24"/>
          <w:u w:val="single"/>
        </w:rPr>
        <w:t>Anaeroblar</w:t>
      </w:r>
      <w:proofErr w:type="spellEnd"/>
      <w:r w:rsidRPr="00B82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Bacteroides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fragilis</w:t>
      </w:r>
      <w:proofErr w:type="spellEnd"/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2F4C">
        <w:rPr>
          <w:rFonts w:ascii="Times New Roman" w:hAnsi="Times New Roman" w:cs="Times New Roman"/>
          <w:sz w:val="24"/>
          <w:szCs w:val="24"/>
          <w:u w:val="single"/>
        </w:rPr>
        <w:t>Diğerleri: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Chlamydia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türleri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Mycoplasma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türleri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i/>
          <w:sz w:val="24"/>
          <w:szCs w:val="24"/>
        </w:rPr>
        <w:t>Legionella</w:t>
      </w:r>
      <w:proofErr w:type="spellEnd"/>
      <w:r w:rsidRPr="00B82F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türleri</w:t>
      </w:r>
    </w:p>
    <w:p w:rsidR="006F4BA9" w:rsidRPr="00B82F4C" w:rsidRDefault="006F4BA9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5.2. </w:t>
      </w:r>
      <w:proofErr w:type="spellStart"/>
      <w:r w:rsidRPr="00B82F4C">
        <w:rPr>
          <w:rFonts w:ascii="Times New Roman" w:hAnsi="Times New Roman" w:cs="Times New Roman"/>
          <w:b/>
          <w:bCs/>
          <w:sz w:val="24"/>
          <w:szCs w:val="24"/>
        </w:rPr>
        <w:t>Farmakokinetik</w:t>
      </w:r>
      <w:proofErr w:type="spellEnd"/>
      <w:r w:rsidRPr="00B82F4C">
        <w:rPr>
          <w:rFonts w:ascii="Times New Roman" w:hAnsi="Times New Roman" w:cs="Times New Roman"/>
          <w:b/>
          <w:bCs/>
          <w:sz w:val="24"/>
          <w:szCs w:val="24"/>
        </w:rPr>
        <w:t xml:space="preserve"> özellikler</w:t>
      </w: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Genel Özellikler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  <w:u w:val="single"/>
        </w:rPr>
      </w:pPr>
      <w:r w:rsidRPr="00B82F4C">
        <w:rPr>
          <w:rFonts w:ascii="Times-Roman" w:hAnsi="Times-Roman" w:cs="Times-Roman"/>
          <w:sz w:val="24"/>
          <w:szCs w:val="24"/>
          <w:u w:val="single"/>
        </w:rPr>
        <w:t>Emilim: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 xml:space="preserve">Normal gönüllülere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intramüsküler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(IM) </w:t>
      </w:r>
      <w:proofErr w:type="gramStart"/>
      <w:r w:rsidRPr="00B82F4C">
        <w:rPr>
          <w:rFonts w:ascii="Times-Roman" w:hAnsi="Times-Roman" w:cs="Times-Roman"/>
          <w:sz w:val="24"/>
          <w:szCs w:val="24"/>
        </w:rPr>
        <w:t>enjeksiyondan</w:t>
      </w:r>
      <w:proofErr w:type="gramEnd"/>
      <w:r w:rsidRPr="00B82F4C">
        <w:rPr>
          <w:rFonts w:ascii="Times-Roman" w:hAnsi="Times-Roman" w:cs="Times-Roman"/>
          <w:sz w:val="24"/>
          <w:szCs w:val="24"/>
        </w:rPr>
        <w:t xml:space="preserve"> sonra ortalama pik serum konsantrasyonları 750 mg doz için 27 ila 35 </w:t>
      </w:r>
      <w:r w:rsidRPr="00B82F4C">
        <w:rPr>
          <w:rFonts w:ascii="Times New Roman" w:hAnsi="Times New Roman" w:cs="Times New Roman"/>
          <w:sz w:val="24"/>
          <w:szCs w:val="24"/>
        </w:rPr>
        <w:t>µ</w:t>
      </w:r>
      <w:r w:rsidRPr="00B82F4C">
        <w:rPr>
          <w:rFonts w:ascii="Times-Roman" w:hAnsi="Times-Roman" w:cs="Times-Roman"/>
          <w:sz w:val="24"/>
          <w:szCs w:val="24"/>
        </w:rPr>
        <w:t xml:space="preserve">g/mL ve 1000 mg doz için 33 ila 40 </w:t>
      </w:r>
      <w:r w:rsidRPr="00B82F4C">
        <w:rPr>
          <w:rFonts w:ascii="Times New Roman" w:hAnsi="Times New Roman" w:cs="Times New Roman"/>
          <w:sz w:val="24"/>
          <w:szCs w:val="24"/>
        </w:rPr>
        <w:t>µ</w:t>
      </w:r>
      <w:r w:rsidRPr="00B82F4C">
        <w:rPr>
          <w:rFonts w:ascii="Times-Roman" w:hAnsi="Times-Roman" w:cs="Times-Roman"/>
          <w:sz w:val="24"/>
          <w:szCs w:val="24"/>
        </w:rPr>
        <w:t xml:space="preserve">g/mL arasında değişmiş ve uygulamayı takiben 30 ila 60 dakika için elde edilmiştir. 750 ve 1500 mg'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lık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intravenöz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(IV) dozları takiben serum </w:t>
      </w:r>
      <w:proofErr w:type="gramStart"/>
      <w:r w:rsidRPr="00B82F4C">
        <w:rPr>
          <w:rFonts w:ascii="Times-Roman" w:hAnsi="Times-Roman" w:cs="Times-Roman"/>
          <w:sz w:val="24"/>
          <w:szCs w:val="24"/>
        </w:rPr>
        <w:t>konsantrasyonları</w:t>
      </w:r>
      <w:proofErr w:type="gramEnd"/>
      <w:r w:rsidRPr="00B82F4C">
        <w:rPr>
          <w:rFonts w:ascii="Times-Roman" w:hAnsi="Times-Roman" w:cs="Times-Roman"/>
          <w:sz w:val="24"/>
          <w:szCs w:val="24"/>
        </w:rPr>
        <w:t xml:space="preserve"> 15. dakikada sırasıyla yaklaşık 50 ve 100 </w:t>
      </w:r>
      <w:r w:rsidRPr="00B82F4C">
        <w:rPr>
          <w:rFonts w:ascii="Times New Roman" w:hAnsi="Times New Roman" w:cs="Times New Roman"/>
          <w:sz w:val="24"/>
          <w:szCs w:val="24"/>
        </w:rPr>
        <w:t>µ</w:t>
      </w:r>
      <w:r w:rsidRPr="00B82F4C">
        <w:rPr>
          <w:rFonts w:ascii="Times-Roman" w:hAnsi="Times-Roman" w:cs="Times-Roman"/>
          <w:sz w:val="24"/>
          <w:szCs w:val="24"/>
        </w:rPr>
        <w:t>g/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mL'dir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>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 xml:space="preserve">EAA ve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Cmaks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IM ve IV uygulamayı takiben 250 ila 1000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mg'lık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tekli doz aralığında dozda artışla doğru orantılı olarak artar görünmektedir. Her 8 saatte bir 1500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mg'lık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dozların tekrarlanan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intravenöz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uygulamasını takiben normal gönüllülerden serumda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sefuroksim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birikimine dair kanıta rastlanmamıştır.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  <w:u w:val="single"/>
        </w:rPr>
      </w:pPr>
      <w:r w:rsidRPr="00B82F4C">
        <w:rPr>
          <w:rFonts w:ascii="Times-Roman" w:hAnsi="Times-Roman" w:cs="Times-Roman"/>
          <w:sz w:val="24"/>
          <w:szCs w:val="24"/>
          <w:u w:val="single"/>
        </w:rPr>
        <w:t>Da</w:t>
      </w:r>
      <w:r w:rsidRPr="00B82F4C">
        <w:rPr>
          <w:rFonts w:ascii="TTE2t00" w:hAnsi="TTE2t00" w:cs="TTE2t00"/>
          <w:sz w:val="24"/>
          <w:szCs w:val="24"/>
          <w:u w:val="single"/>
        </w:rPr>
        <w:t>ğ</w:t>
      </w:r>
      <w:r w:rsidRPr="00B82F4C">
        <w:rPr>
          <w:rFonts w:ascii="Times-Roman" w:hAnsi="Times-Roman" w:cs="Times-Roman"/>
          <w:sz w:val="24"/>
          <w:szCs w:val="24"/>
          <w:u w:val="single"/>
        </w:rPr>
        <w:t>ılım: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 xml:space="preserve">Kullanılan </w:t>
      </w:r>
      <w:proofErr w:type="gramStart"/>
      <w:r w:rsidRPr="00B82F4C">
        <w:rPr>
          <w:rFonts w:ascii="Times-Roman" w:hAnsi="Times-Roman" w:cs="Times-Roman"/>
          <w:sz w:val="24"/>
          <w:szCs w:val="24"/>
        </w:rPr>
        <w:t>metodolojiye</w:t>
      </w:r>
      <w:proofErr w:type="gramEnd"/>
      <w:r w:rsidRPr="00B82F4C">
        <w:rPr>
          <w:rFonts w:ascii="Times-Roman" w:hAnsi="Times-Roman" w:cs="Times-Roman"/>
          <w:sz w:val="24"/>
          <w:szCs w:val="24"/>
        </w:rPr>
        <w:t xml:space="preserve"> ba</w:t>
      </w:r>
      <w:r w:rsidRPr="00B82F4C">
        <w:rPr>
          <w:rFonts w:ascii="TTE2t00" w:hAnsi="TTE2t00" w:cs="TTE2t00"/>
          <w:sz w:val="24"/>
          <w:szCs w:val="24"/>
        </w:rPr>
        <w:t>ğ</w:t>
      </w:r>
      <w:r w:rsidRPr="00B82F4C">
        <w:rPr>
          <w:rFonts w:ascii="Times-Roman" w:hAnsi="Times-Roman" w:cs="Times-Roman"/>
          <w:sz w:val="24"/>
          <w:szCs w:val="24"/>
        </w:rPr>
        <w:t>lı olarak proteinlere ba</w:t>
      </w:r>
      <w:r w:rsidRPr="00B82F4C">
        <w:rPr>
          <w:rFonts w:ascii="TTE2t00" w:hAnsi="TTE2t00" w:cs="TTE2t00"/>
          <w:sz w:val="24"/>
          <w:szCs w:val="24"/>
        </w:rPr>
        <w:t>ğ</w:t>
      </w:r>
      <w:r w:rsidRPr="00B82F4C">
        <w:rPr>
          <w:rFonts w:ascii="Times-Roman" w:hAnsi="Times-Roman" w:cs="Times-Roman"/>
          <w:sz w:val="24"/>
          <w:szCs w:val="24"/>
        </w:rPr>
        <w:t>lanma oranı % 33-50'dir.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 xml:space="preserve">Kemik,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sinoviyal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sıvı ve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aköz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humör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içerisinde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sefuroksim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Pr="00B82F4C">
        <w:rPr>
          <w:rFonts w:ascii="Times-Roman" w:hAnsi="Times-Roman" w:cs="Times-Roman"/>
          <w:sz w:val="24"/>
          <w:szCs w:val="24"/>
        </w:rPr>
        <w:t>konsantrasyonu</w:t>
      </w:r>
      <w:proofErr w:type="gramEnd"/>
      <w:r w:rsidRPr="00B82F4C">
        <w:rPr>
          <w:rFonts w:ascii="Times-Roman" w:hAnsi="Times-Roman" w:cs="Times-Roman"/>
          <w:sz w:val="24"/>
          <w:szCs w:val="24"/>
        </w:rPr>
        <w:t xml:space="preserve"> sık görülen patojenler için gerekli minimum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inhihitör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seviyenin üzerine çıkabilir.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Sefuroksim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meninksler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inflame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iken kan-beyin bariyerini geçer.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  <w:u w:val="single"/>
        </w:rPr>
      </w:pPr>
      <w:proofErr w:type="spellStart"/>
      <w:r w:rsidRPr="00B82F4C">
        <w:rPr>
          <w:rFonts w:ascii="Times-Roman" w:hAnsi="Times-Roman" w:cs="Times-Roman"/>
          <w:sz w:val="24"/>
          <w:szCs w:val="24"/>
          <w:u w:val="single"/>
        </w:rPr>
        <w:t>Biyotransformasyon</w:t>
      </w:r>
      <w:proofErr w:type="spellEnd"/>
      <w:r w:rsidRPr="00B82F4C">
        <w:rPr>
          <w:rFonts w:ascii="Times-Roman" w:hAnsi="Times-Roman" w:cs="Times-Roman"/>
          <w:sz w:val="24"/>
          <w:szCs w:val="24"/>
          <w:u w:val="single"/>
        </w:rPr>
        <w:t>: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B82F4C">
        <w:rPr>
          <w:rFonts w:ascii="Times-Roman" w:hAnsi="Times-Roman" w:cs="Times-Roman"/>
          <w:sz w:val="24"/>
          <w:szCs w:val="24"/>
        </w:rPr>
        <w:t>Sefuroksim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metabolize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edilmez.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  <w:u w:val="single"/>
        </w:rPr>
      </w:pPr>
      <w:r w:rsidRPr="00B82F4C">
        <w:rPr>
          <w:rFonts w:ascii="Times-Roman" w:hAnsi="Times-Roman" w:cs="Times-Roman"/>
          <w:sz w:val="24"/>
          <w:szCs w:val="24"/>
          <w:u w:val="single"/>
        </w:rPr>
        <w:t>Eliminasyon:</w:t>
      </w:r>
    </w:p>
    <w:p w:rsidR="006F4BA9" w:rsidRPr="00B82F4C" w:rsidRDefault="006F4BA9" w:rsidP="008F12A2">
      <w:pPr>
        <w:spacing w:after="0"/>
        <w:jc w:val="both"/>
        <w:rPr>
          <w:rFonts w:ascii="TTE2t00" w:hAnsi="TTE2t00" w:cs="TTE2t00"/>
          <w:sz w:val="24"/>
          <w:szCs w:val="24"/>
        </w:rPr>
      </w:pPr>
      <w:proofErr w:type="spellStart"/>
      <w:r w:rsidRPr="00B82F4C">
        <w:rPr>
          <w:rFonts w:ascii="TTE2t00" w:hAnsi="TTE2t00" w:cs="TTE2t00"/>
          <w:sz w:val="24"/>
          <w:szCs w:val="24"/>
        </w:rPr>
        <w:t>Sefuroks</w:t>
      </w:r>
      <w:r w:rsidR="00AC514F" w:rsidRPr="00B82F4C">
        <w:rPr>
          <w:rFonts w:ascii="TTE2t00" w:hAnsi="TTE2t00" w:cs="TTE2t00"/>
          <w:sz w:val="24"/>
          <w:szCs w:val="24"/>
        </w:rPr>
        <w:t>i</w:t>
      </w:r>
      <w:r w:rsidRPr="00B82F4C">
        <w:rPr>
          <w:rFonts w:ascii="TTE2t00" w:hAnsi="TTE2t00" w:cs="TTE2t00"/>
          <w:sz w:val="24"/>
          <w:szCs w:val="24"/>
        </w:rPr>
        <w:t>m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</w:t>
      </w:r>
      <w:proofErr w:type="spellStart"/>
      <w:r w:rsidRPr="00B82F4C">
        <w:rPr>
          <w:rFonts w:ascii="TTE2t00" w:hAnsi="TTE2t00" w:cs="TTE2t00"/>
          <w:sz w:val="24"/>
          <w:szCs w:val="24"/>
        </w:rPr>
        <w:t>glomerüler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</w:t>
      </w:r>
      <w:proofErr w:type="spellStart"/>
      <w:r w:rsidRPr="00B82F4C">
        <w:rPr>
          <w:rFonts w:ascii="TTE2t00" w:hAnsi="TTE2t00" w:cs="TTE2t00"/>
          <w:sz w:val="24"/>
          <w:szCs w:val="24"/>
        </w:rPr>
        <w:t>filtrasyon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ve </w:t>
      </w:r>
      <w:proofErr w:type="spellStart"/>
      <w:r w:rsidRPr="00B82F4C">
        <w:rPr>
          <w:rFonts w:ascii="TTE2t00" w:hAnsi="TTE2t00" w:cs="TTE2t00"/>
          <w:sz w:val="24"/>
          <w:szCs w:val="24"/>
        </w:rPr>
        <w:t>tübüler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</w:t>
      </w:r>
      <w:proofErr w:type="spellStart"/>
      <w:r w:rsidRPr="00B82F4C">
        <w:rPr>
          <w:rFonts w:ascii="TTE2t00" w:hAnsi="TTE2t00" w:cs="TTE2t00"/>
          <w:sz w:val="24"/>
          <w:szCs w:val="24"/>
        </w:rPr>
        <w:t>sekresyonla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atılır. </w:t>
      </w:r>
      <w:proofErr w:type="spellStart"/>
      <w:r w:rsidRPr="00B82F4C">
        <w:rPr>
          <w:rFonts w:ascii="TTE2t00" w:hAnsi="TTE2t00" w:cs="TTE2t00"/>
          <w:sz w:val="24"/>
          <w:szCs w:val="24"/>
        </w:rPr>
        <w:t>İntramüsküler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veya </w:t>
      </w:r>
      <w:proofErr w:type="spellStart"/>
      <w:r w:rsidRPr="00B82F4C">
        <w:rPr>
          <w:rFonts w:ascii="TTE2t00" w:hAnsi="TTE2t00" w:cs="TTE2t00"/>
          <w:sz w:val="24"/>
          <w:szCs w:val="24"/>
        </w:rPr>
        <w:t>intravenöz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</w:t>
      </w:r>
      <w:proofErr w:type="gramStart"/>
      <w:r w:rsidRPr="00B82F4C">
        <w:rPr>
          <w:rFonts w:ascii="TTE2t00" w:hAnsi="TTE2t00" w:cs="TTE2t00"/>
          <w:sz w:val="24"/>
          <w:szCs w:val="24"/>
        </w:rPr>
        <w:t>enjeksiyon</w:t>
      </w:r>
      <w:proofErr w:type="gramEnd"/>
      <w:r w:rsidRPr="00B82F4C">
        <w:rPr>
          <w:rFonts w:ascii="TTE2t00" w:hAnsi="TTE2t00" w:cs="TTE2t00"/>
          <w:sz w:val="24"/>
          <w:szCs w:val="24"/>
        </w:rPr>
        <w:t xml:space="preserve"> sonrası serum yarılanma ömrü yaklaşık 70 dakikadır. Yaşamın ilk haftalarında </w:t>
      </w:r>
      <w:proofErr w:type="spellStart"/>
      <w:r w:rsidRPr="00B82F4C">
        <w:rPr>
          <w:rFonts w:ascii="TTE2t00" w:hAnsi="TTE2t00" w:cs="TTE2t00"/>
          <w:sz w:val="24"/>
          <w:szCs w:val="24"/>
        </w:rPr>
        <w:t>sefuroksim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serum yarılanma ömrü yetişkinlerdekinin 3-5 katı olabilir. </w:t>
      </w:r>
      <w:proofErr w:type="spellStart"/>
      <w:r w:rsidRPr="00B82F4C">
        <w:rPr>
          <w:rFonts w:ascii="TTE2t00" w:hAnsi="TTE2t00" w:cs="TTE2t00"/>
          <w:sz w:val="24"/>
          <w:szCs w:val="24"/>
        </w:rPr>
        <w:t>Probenesid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ile birlikte verilmesi antibiyotiğin atılımını geciktirir ve yüksek serum düzeyleri oluşturur. </w:t>
      </w:r>
      <w:proofErr w:type="spellStart"/>
      <w:r w:rsidRPr="00B82F4C">
        <w:rPr>
          <w:rFonts w:ascii="TTE2t00" w:hAnsi="TTE2t00" w:cs="TTE2t00"/>
          <w:sz w:val="24"/>
          <w:szCs w:val="24"/>
        </w:rPr>
        <w:t>Yirmidört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saat içinde verilen ilacın hemen tamamı (% 85-90'ı) değişmemiş </w:t>
      </w:r>
      <w:proofErr w:type="spellStart"/>
      <w:r w:rsidRPr="00B82F4C">
        <w:rPr>
          <w:rFonts w:ascii="TTE2t00" w:hAnsi="TTE2t00" w:cs="TTE2t00"/>
          <w:sz w:val="24"/>
          <w:szCs w:val="24"/>
        </w:rPr>
        <w:t>sefuroksim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şeklinde idrarda bulunur. Büyük bir bölümü ilk 6 saatte atılır. </w:t>
      </w:r>
      <w:proofErr w:type="spellStart"/>
      <w:r w:rsidRPr="00B82F4C">
        <w:rPr>
          <w:rFonts w:ascii="TTE2t00" w:hAnsi="TTE2t00" w:cs="TTE2t00"/>
          <w:sz w:val="24"/>
          <w:szCs w:val="24"/>
        </w:rPr>
        <w:t>Sefuroksim</w:t>
      </w:r>
      <w:proofErr w:type="spellEnd"/>
      <w:r w:rsidRPr="00B82F4C">
        <w:rPr>
          <w:rFonts w:ascii="TTE2t00" w:hAnsi="TTE2t00" w:cs="TTE2t00"/>
          <w:sz w:val="24"/>
          <w:szCs w:val="24"/>
        </w:rPr>
        <w:t xml:space="preserve"> serum seviyeleri diyaliz ile düşürülür.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B82F4C">
        <w:rPr>
          <w:rFonts w:ascii="Times-Bold" w:hAnsi="Times-Bold" w:cs="Times-Bold"/>
          <w:b/>
          <w:bCs/>
          <w:sz w:val="24"/>
          <w:szCs w:val="24"/>
        </w:rPr>
        <w:t>Hastalardaki karakteristik özellikler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r w:rsidRPr="00B82F4C">
        <w:rPr>
          <w:rFonts w:ascii="Times New Roman" w:eastAsia="TimesNewRoman" w:hAnsi="Times New Roman"/>
          <w:sz w:val="24"/>
          <w:szCs w:val="24"/>
          <w:u w:val="single"/>
        </w:rPr>
        <w:t>Cinsiyet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r w:rsidRPr="00B82F4C">
        <w:rPr>
          <w:rFonts w:ascii="Times New Roman" w:eastAsia="TimesNewRoman" w:hAnsi="Times New Roman"/>
          <w:sz w:val="24"/>
          <w:szCs w:val="24"/>
        </w:rPr>
        <w:t xml:space="preserve">Sodyum tuzu olarak 1000 mg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tekli IV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bolus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</w:t>
      </w:r>
      <w:proofErr w:type="gramStart"/>
      <w:r w:rsidRPr="00B82F4C">
        <w:rPr>
          <w:rFonts w:ascii="Times New Roman" w:eastAsia="TimesNewRoman" w:hAnsi="Times New Roman"/>
          <w:sz w:val="24"/>
          <w:szCs w:val="24"/>
        </w:rPr>
        <w:t>enjeksiyonunu</w:t>
      </w:r>
      <w:proofErr w:type="gramEnd"/>
      <w:r w:rsidRPr="00B82F4C">
        <w:rPr>
          <w:rFonts w:ascii="Times New Roman" w:eastAsia="TimesNewRoman" w:hAnsi="Times New Roman"/>
          <w:sz w:val="24"/>
          <w:szCs w:val="24"/>
        </w:rPr>
        <w:t xml:space="preserve"> takiben erkekler ve kadınlar arasında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farmakokinetiği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açısından bir fark gözlenmemiştir.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  <w:u w:val="single"/>
        </w:rPr>
      </w:pPr>
      <w:proofErr w:type="spellStart"/>
      <w:r w:rsidRPr="00B82F4C">
        <w:rPr>
          <w:rFonts w:ascii="Times New Roman" w:eastAsia="TimesNewRoman" w:hAnsi="Times New Roman"/>
          <w:sz w:val="24"/>
          <w:szCs w:val="24"/>
          <w:u w:val="single"/>
        </w:rPr>
        <w:t>Geriyatrik</w:t>
      </w:r>
      <w:proofErr w:type="spellEnd"/>
    </w:p>
    <w:p w:rsidR="006F4BA9" w:rsidRPr="00B82F4C" w:rsidRDefault="006F4BA9" w:rsidP="008F12A2">
      <w:pPr>
        <w:autoSpaceDE w:val="0"/>
        <w:autoSpaceDN w:val="0"/>
        <w:adjustRightInd w:val="0"/>
        <w:spacing w:after="0"/>
        <w:rPr>
          <w:rFonts w:ascii="Times New Roman" w:eastAsia="TimesNewRoman" w:hAnsi="Times New Roman"/>
          <w:sz w:val="24"/>
          <w:szCs w:val="24"/>
        </w:rPr>
      </w:pPr>
      <w:proofErr w:type="gramStart"/>
      <w:r w:rsidRPr="00B82F4C">
        <w:rPr>
          <w:rFonts w:ascii="Times New Roman" w:eastAsia="TimesNewRoman" w:hAnsi="Times New Roman"/>
          <w:sz w:val="24"/>
          <w:szCs w:val="24"/>
        </w:rPr>
        <w:t>i</w:t>
      </w:r>
      <w:proofErr w:type="gramEnd"/>
      <w:r w:rsidRPr="00B82F4C">
        <w:rPr>
          <w:rFonts w:ascii="Times New Roman" w:eastAsia="TimesNewRoman" w:hAnsi="Times New Roman"/>
          <w:sz w:val="24"/>
          <w:szCs w:val="24"/>
        </w:rPr>
        <w:t xml:space="preserve">.m. veya i.v. uygulamayı takiben, yaşlı hastalarda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emilimi, dağılımı ve atılımı eşdeğer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fonksiyona sahip daha genç hastalardakine benzerdir. Yaşlı hastalarda azalmış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fonksiyon daha olası olduğundan,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dozu seçilirken dikkat gösterilmelidir ve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fonksiyon takibi faydalı olabilir (bkz. bölüm </w:t>
      </w:r>
      <w:proofErr w:type="gramStart"/>
      <w:r w:rsidRPr="00B82F4C">
        <w:rPr>
          <w:rFonts w:ascii="Times New Roman" w:eastAsia="TimesNewRoman" w:hAnsi="Times New Roman"/>
          <w:sz w:val="24"/>
          <w:szCs w:val="24"/>
        </w:rPr>
        <w:t>4.2</w:t>
      </w:r>
      <w:proofErr w:type="gramEnd"/>
      <w:r w:rsidRPr="00B82F4C">
        <w:rPr>
          <w:rFonts w:ascii="Times New Roman" w:eastAsia="TimesNewRoman" w:hAnsi="Times New Roman"/>
          <w:sz w:val="24"/>
          <w:szCs w:val="24"/>
        </w:rPr>
        <w:t>).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r w:rsidRPr="00B82F4C">
        <w:rPr>
          <w:rFonts w:ascii="Times New Roman" w:eastAsia="TimesNewRoman" w:hAnsi="Times New Roman"/>
          <w:sz w:val="24"/>
          <w:szCs w:val="24"/>
          <w:u w:val="single"/>
        </w:rPr>
        <w:t>Pediatrik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serum yarılanma ömrünün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gestasyonel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yaşa göre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neonatlarda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önemli ölçüde uzadığı gösterilmiştir. Bununla birlikte daha büyük bebeklerde (&gt;3 haftalık) ve çocuklarda 60 ila 90 dakikalık serum yarılanma ömrü yetişkinlerde gözlenene benzerdir.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proofErr w:type="spellStart"/>
      <w:r w:rsidRPr="00B82F4C">
        <w:rPr>
          <w:rFonts w:ascii="Times New Roman" w:eastAsia="TimesNewRoman" w:hAnsi="Times New Roman"/>
          <w:sz w:val="24"/>
          <w:szCs w:val="24"/>
          <w:u w:val="single"/>
        </w:rPr>
        <w:t>Renal</w:t>
      </w:r>
      <w:proofErr w:type="spellEnd"/>
      <w:r w:rsidRPr="00B82F4C">
        <w:rPr>
          <w:rFonts w:ascii="Times New Roman" w:eastAsia="TimesNewRoman" w:hAnsi="Times New Roman"/>
          <w:sz w:val="24"/>
          <w:szCs w:val="24"/>
          <w:u w:val="single"/>
        </w:rPr>
        <w:t xml:space="preserve"> bozukluk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başlıca böbreklerle atılır. Bu tip tüm antibiyotiklerle olduğu gibi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renal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fonksiyonu belirgin olarak azalmış hastalarda (yani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kreatinin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klerensi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&lt;20 mL/dakika)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</w:t>
      </w:r>
      <w:r w:rsidRPr="00B82F4C">
        <w:rPr>
          <w:rFonts w:ascii="Times New Roman" w:eastAsia="TimesNewRoman" w:hAnsi="Times New Roman"/>
          <w:sz w:val="24"/>
          <w:szCs w:val="24"/>
        </w:rPr>
        <w:lastRenderedPageBreak/>
        <w:t>dozajının daha yavaş atılımı telafi etmek üzere azaltılması düşünülmelidir. (bkz</w:t>
      </w:r>
      <w:proofErr w:type="gramStart"/>
      <w:r w:rsidRPr="00B82F4C">
        <w:rPr>
          <w:rFonts w:ascii="Times New Roman" w:eastAsia="TimesNewRoman" w:hAnsi="Times New Roman"/>
          <w:sz w:val="24"/>
          <w:szCs w:val="24"/>
        </w:rPr>
        <w:t>.,</w:t>
      </w:r>
      <w:proofErr w:type="gramEnd"/>
      <w:r w:rsidRPr="00B82F4C">
        <w:rPr>
          <w:rFonts w:ascii="Times New Roman" w:eastAsia="TimesNewRoman" w:hAnsi="Times New Roman"/>
          <w:sz w:val="24"/>
          <w:szCs w:val="24"/>
        </w:rPr>
        <w:t xml:space="preserve"> bölüm 4.2).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hemodiyaliz ve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peritoneal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diyalizle etkili bir şekilde uzaklaştırılır.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proofErr w:type="spellStart"/>
      <w:r w:rsidRPr="00B82F4C">
        <w:rPr>
          <w:rFonts w:ascii="Times New Roman" w:eastAsia="TimesNewRoman" w:hAnsi="Times New Roman"/>
          <w:sz w:val="24"/>
          <w:szCs w:val="24"/>
          <w:u w:val="single"/>
        </w:rPr>
        <w:t>Hepatik</w:t>
      </w:r>
      <w:proofErr w:type="spellEnd"/>
      <w:r w:rsidRPr="00B82F4C">
        <w:rPr>
          <w:rFonts w:ascii="Times New Roman" w:eastAsia="TimesNewRoman" w:hAnsi="Times New Roman"/>
          <w:sz w:val="24"/>
          <w:szCs w:val="24"/>
          <w:u w:val="single"/>
        </w:rPr>
        <w:t xml:space="preserve"> bozukluk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Sefuroksim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başlıca böbreklerden elimine edildiğinden,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hepatik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fonksiyon bozukluğunun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farrnakokinetiği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üzerinde bir etkiye sahip olması beklenmemektedir.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  <w:u w:val="single"/>
        </w:rPr>
      </w:pPr>
      <w:r w:rsidRPr="00B82F4C">
        <w:rPr>
          <w:rFonts w:ascii="Times New Roman" w:eastAsia="TimesNewRoman" w:hAnsi="Times New Roman"/>
          <w:sz w:val="24"/>
          <w:szCs w:val="24"/>
          <w:u w:val="single"/>
        </w:rPr>
        <w:t>FK/FD ilişkisi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Sefalosporinler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için </w:t>
      </w:r>
      <w:r w:rsidRPr="00B82F4C">
        <w:rPr>
          <w:rFonts w:ascii="Times New Roman" w:eastAsia="TimesNewRoman" w:hAnsi="Times New Roman"/>
          <w:i/>
          <w:sz w:val="24"/>
          <w:szCs w:val="24"/>
        </w:rPr>
        <w:t xml:space="preserve">in </w:t>
      </w:r>
      <w:proofErr w:type="spellStart"/>
      <w:r w:rsidRPr="00B82F4C">
        <w:rPr>
          <w:rFonts w:ascii="Times New Roman" w:eastAsia="TimesNewRoman" w:hAnsi="Times New Roman"/>
          <w:i/>
          <w:sz w:val="24"/>
          <w:szCs w:val="24"/>
        </w:rPr>
        <w:t>vivo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etkililik ile </w:t>
      </w:r>
      <w:proofErr w:type="gramStart"/>
      <w:r w:rsidRPr="00B82F4C">
        <w:rPr>
          <w:rFonts w:ascii="Times New Roman" w:eastAsia="TimesNewRoman" w:hAnsi="Times New Roman"/>
          <w:sz w:val="24"/>
          <w:szCs w:val="24"/>
        </w:rPr>
        <w:t>korelasyon</w:t>
      </w:r>
      <w:proofErr w:type="gramEnd"/>
      <w:r w:rsidRPr="00B82F4C">
        <w:rPr>
          <w:rFonts w:ascii="Times New Roman" w:eastAsia="TimesNewRoman" w:hAnsi="Times New Roman"/>
          <w:sz w:val="24"/>
          <w:szCs w:val="24"/>
        </w:rPr>
        <w:t xml:space="preserve"> gösteren en önemli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farmakokinetik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-farmakodinamik indeksin bağlanmamış konsantrasyonun her bir hedef tür için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sefuroksimin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minimum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inhibe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edici konsantrasyonunun (MIK) (yani, %T &gt;MIK) üzerinde kaldığı doz uygulama aralığı yüzdesi olduğu (% T) gösterilmiştir.</w:t>
      </w:r>
    </w:p>
    <w:p w:rsidR="006F4BA9" w:rsidRPr="00B82F4C" w:rsidRDefault="006F4BA9" w:rsidP="008F12A2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5.3. Klinik öncesi güvenlilik verileri</w:t>
      </w:r>
    </w:p>
    <w:p w:rsidR="00B749F5" w:rsidRPr="00B82F4C" w:rsidRDefault="00AC514F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Veri yoktur. </w:t>
      </w: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6. FARMASÖTİK ÖZELLİKLER</w:t>
      </w: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6.1. Yardımcı maddelerin listesi</w:t>
      </w:r>
    </w:p>
    <w:p w:rsidR="00B749F5" w:rsidRDefault="00B749F5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Enjeksiyonluk su</w:t>
      </w:r>
    </w:p>
    <w:p w:rsidR="00FB7A92" w:rsidRPr="00B82F4C" w:rsidRDefault="00FB7A92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9F5" w:rsidRPr="00B82F4C" w:rsidRDefault="00B749F5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6.2. Geçimsizlikler</w:t>
      </w:r>
    </w:p>
    <w:p w:rsidR="00BC3772" w:rsidRDefault="00AC514F" w:rsidP="008F12A2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  <w:r w:rsidRPr="00B82F4C">
        <w:rPr>
          <w:rFonts w:ascii="Times New Roman" w:eastAsia="TimesNewRoman" w:hAnsi="Times New Roman"/>
          <w:sz w:val="24"/>
          <w:szCs w:val="24"/>
        </w:rPr>
        <w:t xml:space="preserve">CEFAKS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enjektabl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aminoglikozid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antibiyotiklerle birlikte aynı enjektörde karıştırılmamalıdır. % 2.74 a/h Sodyum Bikarbonat Enjeksiyon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BP'nin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pH’sı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çözeltinin rengini etkilediğinden CEFAKS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enjektabl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seyreltilmesi için tavsiye edilmez. Bununla beraber gerektiğinde,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infüzyon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ile Sodyum Bikarbonat Enjeksiyon alan hastalara CEFAKS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enjektabl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, takılan set içine </w:t>
      </w:r>
      <w:proofErr w:type="spellStart"/>
      <w:r w:rsidRPr="00B82F4C">
        <w:rPr>
          <w:rFonts w:ascii="Times New Roman" w:eastAsia="TimesNewRoman" w:hAnsi="Times New Roman"/>
          <w:sz w:val="24"/>
          <w:szCs w:val="24"/>
        </w:rPr>
        <w:t>zerkedilerek</w:t>
      </w:r>
      <w:proofErr w:type="spellEnd"/>
      <w:r w:rsidRPr="00B82F4C">
        <w:rPr>
          <w:rFonts w:ascii="Times New Roman" w:eastAsia="TimesNewRoman" w:hAnsi="Times New Roman"/>
          <w:sz w:val="24"/>
          <w:szCs w:val="24"/>
        </w:rPr>
        <w:t xml:space="preserve"> verilebilir.</w:t>
      </w:r>
    </w:p>
    <w:p w:rsidR="00FB7A92" w:rsidRPr="00B82F4C" w:rsidRDefault="00FB7A92" w:rsidP="008F12A2">
      <w:pPr>
        <w:spacing w:after="0"/>
        <w:jc w:val="both"/>
        <w:rPr>
          <w:rFonts w:ascii="Times New Roman" w:eastAsia="TimesNewRoman" w:hAnsi="Times New Roman"/>
          <w:sz w:val="24"/>
          <w:szCs w:val="24"/>
        </w:rPr>
      </w:pP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4C">
        <w:rPr>
          <w:rFonts w:ascii="Times New Roman" w:hAnsi="Times New Roman" w:cs="Times New Roman"/>
          <w:b/>
          <w:sz w:val="24"/>
          <w:szCs w:val="24"/>
        </w:rPr>
        <w:t>6.3. Raf ömrü</w:t>
      </w: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36 ay.</w:t>
      </w:r>
    </w:p>
    <w:p w:rsidR="00653E9A" w:rsidRDefault="00653E9A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4C">
        <w:rPr>
          <w:rFonts w:ascii="Times New Roman" w:hAnsi="Times New Roman" w:cs="Times New Roman"/>
          <w:b/>
          <w:sz w:val="24"/>
          <w:szCs w:val="24"/>
        </w:rPr>
        <w:t>6.4. Saklamaya yönelik özel tedbirler</w:t>
      </w:r>
    </w:p>
    <w:p w:rsidR="00FB7A92" w:rsidRDefault="007709B0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B70">
        <w:rPr>
          <w:rFonts w:ascii="Times New Roman" w:hAnsi="Times New Roman" w:cs="Times New Roman"/>
          <w:sz w:val="24"/>
          <w:szCs w:val="24"/>
        </w:rPr>
        <w:t>Sulandırılmadan (kuru haldeyken) 25º</w:t>
      </w:r>
      <w:proofErr w:type="spellStart"/>
      <w:r w:rsidRPr="004B5B70">
        <w:rPr>
          <w:rFonts w:ascii="Times New Roman" w:hAnsi="Times New Roman" w:cs="Times New Roman"/>
          <w:sz w:val="24"/>
          <w:szCs w:val="24"/>
        </w:rPr>
        <w:t>C’nin</w:t>
      </w:r>
      <w:proofErr w:type="spellEnd"/>
      <w:r w:rsidRPr="004B5B70">
        <w:rPr>
          <w:rFonts w:ascii="Times New Roman" w:hAnsi="Times New Roman" w:cs="Times New Roman"/>
          <w:sz w:val="24"/>
          <w:szCs w:val="24"/>
        </w:rPr>
        <w:t xml:space="preserve"> altındaki oda sıcaklığında</w:t>
      </w:r>
      <w:r w:rsidRPr="007709B0">
        <w:rPr>
          <w:rFonts w:ascii="Times New Roman" w:hAnsi="Times New Roman" w:cs="Times New Roman"/>
          <w:sz w:val="24"/>
          <w:szCs w:val="24"/>
        </w:rPr>
        <w:t xml:space="preserve"> </w:t>
      </w:r>
      <w:r w:rsidRPr="00B82F4C">
        <w:rPr>
          <w:rFonts w:ascii="Times New Roman" w:hAnsi="Times New Roman" w:cs="Times New Roman"/>
          <w:sz w:val="24"/>
          <w:szCs w:val="24"/>
        </w:rPr>
        <w:t>saklanmalıdır.</w:t>
      </w:r>
    </w:p>
    <w:p w:rsidR="007709B0" w:rsidRDefault="007709B0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B0" w:rsidRPr="004B5B70" w:rsidRDefault="00397DD0" w:rsidP="00770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Bütün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enjektabl</w:t>
      </w:r>
      <w:proofErr w:type="spellEnd"/>
      <w:r w:rsidR="007709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709B0" w:rsidRPr="004B5B70">
        <w:rPr>
          <w:rFonts w:ascii="Times New Roman" w:hAnsi="Times New Roman" w:cs="Times New Roman"/>
          <w:color w:val="000000"/>
          <w:sz w:val="24"/>
          <w:szCs w:val="24"/>
        </w:rPr>
        <w:t>flakonla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sulandırıldıktan sonra tercihe</w:t>
      </w:r>
      <w:r w:rsidR="007709B0" w:rsidRPr="004B5B70">
        <w:rPr>
          <w:rFonts w:ascii="Times New Roman" w:hAnsi="Times New Roman" w:cs="Times New Roman"/>
          <w:color w:val="000000"/>
          <w:sz w:val="24"/>
          <w:szCs w:val="24"/>
        </w:rPr>
        <w:t>n bekletilmeden kullanılmalıdır.</w:t>
      </w:r>
      <w:r w:rsidR="007709B0">
        <w:rPr>
          <w:rFonts w:ascii="Times New Roman" w:hAnsi="Times New Roman" w:cs="Times New Roman"/>
          <w:color w:val="000000"/>
          <w:sz w:val="24"/>
          <w:szCs w:val="24"/>
        </w:rPr>
        <w:t xml:space="preserve"> Bununla beraber </w:t>
      </w:r>
      <w:r w:rsidR="007709B0">
        <w:rPr>
          <w:rFonts w:ascii="Times New Roman" w:hAnsi="Times New Roman" w:cs="Times New Roman"/>
          <w:sz w:val="24"/>
          <w:szCs w:val="24"/>
        </w:rPr>
        <w:t>h</w:t>
      </w:r>
      <w:r w:rsidR="007709B0" w:rsidRPr="004B5B70">
        <w:rPr>
          <w:rFonts w:ascii="Times New Roman" w:hAnsi="Times New Roman" w:cs="Times New Roman"/>
          <w:sz w:val="24"/>
          <w:szCs w:val="24"/>
        </w:rPr>
        <w:t>azırlanan sulu çözeltiler</w:t>
      </w:r>
      <w:r w:rsidR="007709B0">
        <w:rPr>
          <w:rFonts w:ascii="Times New Roman" w:hAnsi="Times New Roman" w:cs="Times New Roman"/>
          <w:sz w:val="24"/>
          <w:szCs w:val="24"/>
        </w:rPr>
        <w:t>,</w:t>
      </w:r>
      <w:r w:rsidR="007709B0" w:rsidRPr="004B5B70">
        <w:rPr>
          <w:rFonts w:ascii="Times New Roman" w:hAnsi="Times New Roman" w:cs="Times New Roman"/>
          <w:sz w:val="24"/>
          <w:szCs w:val="24"/>
        </w:rPr>
        <w:t xml:space="preserve"> 25º</w:t>
      </w:r>
      <w:proofErr w:type="spellStart"/>
      <w:r w:rsidR="007709B0" w:rsidRPr="004B5B70">
        <w:rPr>
          <w:rFonts w:ascii="Times New Roman" w:hAnsi="Times New Roman" w:cs="Times New Roman"/>
          <w:sz w:val="24"/>
          <w:szCs w:val="24"/>
        </w:rPr>
        <w:t>C’nin</w:t>
      </w:r>
      <w:proofErr w:type="spellEnd"/>
      <w:r w:rsidR="007709B0" w:rsidRPr="004B5B70">
        <w:rPr>
          <w:rFonts w:ascii="Times New Roman" w:hAnsi="Times New Roman" w:cs="Times New Roman"/>
          <w:sz w:val="24"/>
          <w:szCs w:val="24"/>
        </w:rPr>
        <w:t xml:space="preserve"> altındaki oda sıcaklığında saklanırsa </w:t>
      </w:r>
      <w:r w:rsidR="007709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709B0" w:rsidRPr="004B5B70">
        <w:rPr>
          <w:rFonts w:ascii="Times New Roman" w:hAnsi="Times New Roman" w:cs="Times New Roman"/>
          <w:sz w:val="24"/>
          <w:szCs w:val="24"/>
        </w:rPr>
        <w:t>5 saat, soğukta (2-8</w:t>
      </w:r>
      <w:r w:rsidR="007709B0" w:rsidRPr="004B5B70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7709B0" w:rsidRPr="004B5B70">
        <w:rPr>
          <w:rFonts w:ascii="Times New Roman" w:hAnsi="Times New Roman" w:cs="Times New Roman"/>
          <w:sz w:val="24"/>
          <w:szCs w:val="24"/>
        </w:rPr>
        <w:t xml:space="preserve">C) saklanırsa 48 saat süreyle etkinliğini korur. </w:t>
      </w:r>
      <w:r w:rsidR="007709B0" w:rsidRPr="004B5B70">
        <w:rPr>
          <w:rFonts w:ascii="Times New Roman" w:hAnsi="Times New Roman" w:cs="Times New Roman"/>
          <w:color w:val="000000"/>
          <w:sz w:val="23"/>
          <w:szCs w:val="23"/>
        </w:rPr>
        <w:t xml:space="preserve">Isı ve ışıktan koruyunuz. </w:t>
      </w:r>
    </w:p>
    <w:p w:rsidR="007709B0" w:rsidRDefault="007709B0" w:rsidP="007709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5B70">
        <w:rPr>
          <w:rFonts w:ascii="Times New Roman" w:hAnsi="Times New Roman" w:cs="Times New Roman"/>
          <w:color w:val="000000"/>
          <w:sz w:val="23"/>
          <w:szCs w:val="23"/>
        </w:rPr>
        <w:t>Hazı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rlanan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CEFAKS</w:t>
      </w:r>
      <w:r w:rsidRPr="004B5B70">
        <w:rPr>
          <w:rFonts w:ascii="Times New Roman" w:hAnsi="Times New Roman" w:cs="Times New Roman"/>
          <w:color w:val="000000"/>
          <w:sz w:val="23"/>
          <w:szCs w:val="23"/>
        </w:rPr>
        <w:t>’ta</w:t>
      </w:r>
      <w:proofErr w:type="spellEnd"/>
      <w:r w:rsidRPr="004B5B70">
        <w:rPr>
          <w:rFonts w:ascii="Times New Roman" w:hAnsi="Times New Roman" w:cs="Times New Roman"/>
          <w:color w:val="000000"/>
          <w:sz w:val="23"/>
          <w:szCs w:val="23"/>
        </w:rPr>
        <w:t xml:space="preserve"> saklama sırasında renk koyulaşması görülebilir.</w:t>
      </w:r>
    </w:p>
    <w:p w:rsidR="007709B0" w:rsidRPr="00B82F4C" w:rsidRDefault="007709B0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F4C">
        <w:rPr>
          <w:rFonts w:ascii="Times New Roman" w:hAnsi="Times New Roman" w:cs="Times New Roman"/>
          <w:b/>
          <w:sz w:val="24"/>
          <w:szCs w:val="24"/>
        </w:rPr>
        <w:t>6.5. Ambalajın niteliği ve içeriği</w:t>
      </w: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F4C">
        <w:rPr>
          <w:rFonts w:ascii="Times New Roman" w:hAnsi="Times New Roman" w:cs="Times New Roman"/>
          <w:sz w:val="24"/>
          <w:szCs w:val="24"/>
        </w:rPr>
        <w:t>Aluminyum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emniyet kapsülü ve kauçuk tıpa ile kapatılmış renksiz cam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flakonlar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(Tip III) ve 2 ml enjeksiyon</w:t>
      </w:r>
      <w:r w:rsidR="00397DD0">
        <w:rPr>
          <w:rFonts w:ascii="Times New Roman" w:hAnsi="Times New Roman" w:cs="Times New Roman"/>
          <w:sz w:val="24"/>
          <w:szCs w:val="24"/>
        </w:rPr>
        <w:t xml:space="preserve">luk su içeren renksiz, </w:t>
      </w:r>
      <w:r w:rsidRPr="00B82F4C">
        <w:rPr>
          <w:rFonts w:ascii="Times New Roman" w:hAnsi="Times New Roman" w:cs="Times New Roman"/>
          <w:sz w:val="24"/>
          <w:szCs w:val="24"/>
        </w:rPr>
        <w:t>cam ampul (Tip I)</w:t>
      </w:r>
    </w:p>
    <w:p w:rsidR="00AC514F" w:rsidRDefault="00AC514F" w:rsidP="008F12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 xml:space="preserve">Her bir karton kutu; 1 adet </w:t>
      </w:r>
      <w:proofErr w:type="spellStart"/>
      <w:r w:rsidRPr="00B82F4C">
        <w:rPr>
          <w:rFonts w:ascii="Times New Roman" w:hAnsi="Times New Roman" w:cs="Times New Roman"/>
          <w:sz w:val="24"/>
          <w:szCs w:val="24"/>
        </w:rPr>
        <w:t>flakon</w:t>
      </w:r>
      <w:proofErr w:type="spellEnd"/>
      <w:r w:rsidRPr="00B82F4C">
        <w:rPr>
          <w:rFonts w:ascii="Times New Roman" w:hAnsi="Times New Roman" w:cs="Times New Roman"/>
          <w:sz w:val="24"/>
          <w:szCs w:val="24"/>
        </w:rPr>
        <w:t xml:space="preserve"> ve 1 adet çözücü ampul içermektedir. </w:t>
      </w:r>
    </w:p>
    <w:p w:rsidR="00FB7A92" w:rsidRPr="00B82F4C" w:rsidRDefault="00FB7A92" w:rsidP="008F1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6.6. Beşeri tıbbi ürünlerden arta kalan maddelerin imhası ve diğer özel önlemler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 xml:space="preserve">Geçimlilikleri: CEFAKS </w:t>
      </w:r>
      <w:proofErr w:type="gramStart"/>
      <w:r w:rsidRPr="00B82F4C">
        <w:rPr>
          <w:rFonts w:ascii="Times-Roman" w:hAnsi="Times-Roman" w:cs="Times-Roman"/>
          <w:sz w:val="24"/>
          <w:szCs w:val="24"/>
        </w:rPr>
        <w:t>1.5</w:t>
      </w:r>
      <w:proofErr w:type="gramEnd"/>
      <w:r w:rsidRPr="00B82F4C">
        <w:rPr>
          <w:rFonts w:ascii="Times-Roman" w:hAnsi="Times-Roman" w:cs="Times-Roman"/>
          <w:sz w:val="24"/>
          <w:szCs w:val="24"/>
        </w:rPr>
        <w:t xml:space="preserve"> g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enjektabl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flakon'a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15 ml Enjeksiyonluk Su ilavesi ile hazırlanan çözelti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Metranidazol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enjeksiyonuna katılabilir (500 mg/100ml), ikisi de </w:t>
      </w:r>
      <w:r w:rsidRPr="00B82F4C">
        <w:rPr>
          <w:rFonts w:ascii="Times-Roman" w:hAnsi="Times-Roman" w:cs="Times-Roman"/>
          <w:sz w:val="24"/>
          <w:szCs w:val="24"/>
        </w:rPr>
        <w:lastRenderedPageBreak/>
        <w:t>aktivitelerini 25</w:t>
      </w:r>
      <w:r w:rsidRPr="00B82F4C">
        <w:rPr>
          <w:rFonts w:ascii="Times-Roman" w:hAnsi="Times-Roman" w:cs="Times-Roman"/>
          <w:sz w:val="24"/>
          <w:szCs w:val="24"/>
          <w:vertAlign w:val="superscript"/>
        </w:rPr>
        <w:t>0</w:t>
      </w:r>
      <w:r w:rsidRPr="00B82F4C">
        <w:rPr>
          <w:rFonts w:ascii="Times-Roman" w:hAnsi="Times-Roman" w:cs="Times-Roman"/>
          <w:sz w:val="24"/>
          <w:szCs w:val="24"/>
        </w:rPr>
        <w:t xml:space="preserve">C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nin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altında 24 saat korurlar. CEFAKS 1.5 g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enjektabl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flakon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azlosilin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1</w:t>
      </w:r>
      <w:r w:rsidR="008F12A2" w:rsidRPr="00B82F4C">
        <w:rPr>
          <w:rFonts w:ascii="Times-Roman" w:hAnsi="Times-Roman" w:cs="Times-Roman"/>
          <w:sz w:val="24"/>
          <w:szCs w:val="24"/>
        </w:rPr>
        <w:t>g</w:t>
      </w:r>
      <w:r w:rsidRPr="00B82F4C">
        <w:rPr>
          <w:rFonts w:ascii="Times-Roman" w:hAnsi="Times-Roman" w:cs="Times-Roman"/>
          <w:sz w:val="24"/>
          <w:szCs w:val="24"/>
        </w:rPr>
        <w:t xml:space="preserve"> (15ml içinde) veya 5g (50 ml içinde) </w:t>
      </w:r>
      <w:proofErr w:type="gramStart"/>
      <w:r w:rsidRPr="00B82F4C">
        <w:rPr>
          <w:rFonts w:ascii="Times-Roman" w:hAnsi="Times-Roman" w:cs="Times-Roman"/>
          <w:sz w:val="24"/>
          <w:szCs w:val="24"/>
        </w:rPr>
        <w:t>ile,</w:t>
      </w:r>
      <w:proofErr w:type="gramEnd"/>
      <w:r w:rsidRPr="00B82F4C">
        <w:rPr>
          <w:rFonts w:ascii="Times-Roman" w:hAnsi="Times-Roman" w:cs="Times-Roman"/>
          <w:sz w:val="24"/>
          <w:szCs w:val="24"/>
        </w:rPr>
        <w:t xml:space="preserve"> 4</w:t>
      </w:r>
      <w:r w:rsidRPr="00B82F4C">
        <w:rPr>
          <w:rFonts w:ascii="Times-Roman" w:hAnsi="Times-Roman" w:cs="Times-Roman"/>
          <w:sz w:val="24"/>
          <w:szCs w:val="24"/>
          <w:vertAlign w:val="superscript"/>
        </w:rPr>
        <w:t>0</w:t>
      </w:r>
      <w:r w:rsidRPr="00B82F4C">
        <w:rPr>
          <w:rFonts w:ascii="Times-Roman" w:hAnsi="Times-Roman" w:cs="Times-Roman"/>
          <w:sz w:val="24"/>
          <w:szCs w:val="24"/>
        </w:rPr>
        <w:t>C de 24 saat, 25</w:t>
      </w:r>
      <w:r w:rsidRPr="00B82F4C">
        <w:rPr>
          <w:rFonts w:ascii="Times-Roman" w:hAnsi="Times-Roman" w:cs="Times-Roman"/>
          <w:sz w:val="24"/>
          <w:szCs w:val="24"/>
          <w:vertAlign w:val="superscript"/>
        </w:rPr>
        <w:t>0</w:t>
      </w:r>
      <w:r w:rsidRPr="00B82F4C">
        <w:rPr>
          <w:rFonts w:ascii="Times-Roman" w:hAnsi="Times-Roman" w:cs="Times-Roman"/>
          <w:sz w:val="24"/>
          <w:szCs w:val="24"/>
        </w:rPr>
        <w:t xml:space="preserve">C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nin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altında ise 6 saat geçimlidir. CEFAKS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enjektabl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, yaygın olarak kullanılan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intravenöz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  <w:u w:val="single"/>
        </w:rPr>
        <w:t>infüzyon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sıvıları ile geçimlidir ve CEFAKS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enjektabl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>, oda sıcaklığında, aşağıdaki çözeltiler içinde 24 saat süreyle etkinliğini muhafaza eder.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 xml:space="preserve">Sodyum Klorür Enjeksiyon BP % </w:t>
      </w:r>
      <w:proofErr w:type="gramStart"/>
      <w:r w:rsidRPr="00B82F4C">
        <w:rPr>
          <w:rFonts w:ascii="Times-Roman" w:hAnsi="Times-Roman" w:cs="Times-Roman"/>
          <w:sz w:val="24"/>
          <w:szCs w:val="24"/>
        </w:rPr>
        <w:t>0.9</w:t>
      </w:r>
      <w:proofErr w:type="gramEnd"/>
      <w:r w:rsidRPr="00B82F4C">
        <w:rPr>
          <w:rFonts w:ascii="Times-Roman" w:hAnsi="Times-Roman" w:cs="Times-Roman"/>
          <w:sz w:val="24"/>
          <w:szCs w:val="24"/>
        </w:rPr>
        <w:t xml:space="preserve"> a/h,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>% 5 Dekstroz Enjeksiyon BP,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>% 0.18 a/h Sodyum Klorür+% 4 Dekstroz Enjeksiyon BP,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>% 5 Dekstroz ve %</w:t>
      </w:r>
      <w:proofErr w:type="gramStart"/>
      <w:r w:rsidRPr="00B82F4C">
        <w:rPr>
          <w:rFonts w:ascii="Times-Roman" w:hAnsi="Times-Roman" w:cs="Times-Roman"/>
          <w:sz w:val="24"/>
          <w:szCs w:val="24"/>
        </w:rPr>
        <w:t>0.9</w:t>
      </w:r>
      <w:proofErr w:type="gramEnd"/>
      <w:r w:rsidRPr="00B82F4C">
        <w:rPr>
          <w:rFonts w:ascii="Times-Roman" w:hAnsi="Times-Roman" w:cs="Times-Roman"/>
          <w:sz w:val="24"/>
          <w:szCs w:val="24"/>
        </w:rPr>
        <w:t xml:space="preserve"> Sodyum Klorür Enjeksiyon,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>% 5 Dekstroz ve %0.45 Sodyum Klorür Enjeksiyon,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>% 5 Dekstroz ve %0.225 Sodyum Klorür Enjeksiyon,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>% 10 Dekstroz Enjeksiyon,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 xml:space="preserve">% 10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İnvert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Şeker'in Enjeksiyonluk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Su'daki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çözeltisi,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proofErr w:type="spellStart"/>
      <w:r w:rsidRPr="00B82F4C">
        <w:rPr>
          <w:rFonts w:ascii="Times-Roman" w:hAnsi="Times-Roman" w:cs="Times-Roman"/>
          <w:sz w:val="24"/>
          <w:szCs w:val="24"/>
        </w:rPr>
        <w:t>Laktatlı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Ringer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Enjeksiyonu USP,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 xml:space="preserve">M/6 Sodyum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Laktat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Enjeksiyonu,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 xml:space="preserve">Kompoze Sodyum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Laktat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Enjeksiyon BP (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Hartmann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çöz.)</w:t>
      </w: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AC514F" w:rsidRPr="00B82F4C" w:rsidRDefault="00AC514F" w:rsidP="008F12A2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 w:rsidRPr="00B82F4C">
        <w:rPr>
          <w:rFonts w:ascii="Times-Roman" w:hAnsi="Times-Roman" w:cs="Times-Roman"/>
          <w:sz w:val="24"/>
          <w:szCs w:val="24"/>
        </w:rPr>
        <w:t xml:space="preserve">CEFAKS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enjektabl'ın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Sodyum Klorür Enjeksiyon BP % </w:t>
      </w:r>
      <w:proofErr w:type="gramStart"/>
      <w:r w:rsidRPr="00B82F4C">
        <w:rPr>
          <w:rFonts w:ascii="Times-Roman" w:hAnsi="Times-Roman" w:cs="Times-Roman"/>
          <w:sz w:val="24"/>
          <w:szCs w:val="24"/>
        </w:rPr>
        <w:t>0.9</w:t>
      </w:r>
      <w:proofErr w:type="gramEnd"/>
      <w:r w:rsidRPr="00B82F4C">
        <w:rPr>
          <w:rFonts w:ascii="Times-Roman" w:hAnsi="Times-Roman" w:cs="Times-Roman"/>
          <w:sz w:val="24"/>
          <w:szCs w:val="24"/>
        </w:rPr>
        <w:t xml:space="preserve"> a/h ve % 5 Dekstroz Enjeksiyon içindeki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stabilitesi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hidrokortizon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sodyum fosfatın bulunmasından etkilenmez. CEFAKS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enjektabl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% 1 'e kadar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lidokain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hidroklorür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içeren sulu çözeltiler ile de geçimlidir. CEFAKS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enjektabl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aşağıdaki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intravenöz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infüzyonlarla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karıştırıldığında 24 saat oda sıcaklığında geçimlidir: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Heparin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 xml:space="preserve"> (10 ve 50 ünite/ml) % </w:t>
      </w:r>
      <w:proofErr w:type="gramStart"/>
      <w:r w:rsidRPr="00B82F4C">
        <w:rPr>
          <w:rFonts w:ascii="Times-Roman" w:hAnsi="Times-Roman" w:cs="Times-Roman"/>
          <w:sz w:val="24"/>
          <w:szCs w:val="24"/>
        </w:rPr>
        <w:t>0.9</w:t>
      </w:r>
      <w:proofErr w:type="gramEnd"/>
      <w:r w:rsidRPr="00B82F4C">
        <w:rPr>
          <w:rFonts w:ascii="Times-Roman" w:hAnsi="Times-Roman" w:cs="Times-Roman"/>
          <w:sz w:val="24"/>
          <w:szCs w:val="24"/>
        </w:rPr>
        <w:t xml:space="preserve"> Sodyum Klorür Enjeksiyon içinde; Potasyum klorür (10 ve 40 </w:t>
      </w:r>
      <w:proofErr w:type="spellStart"/>
      <w:r w:rsidRPr="00B82F4C">
        <w:rPr>
          <w:rFonts w:ascii="Times-Roman" w:hAnsi="Times-Roman" w:cs="Times-Roman"/>
          <w:sz w:val="24"/>
          <w:szCs w:val="24"/>
        </w:rPr>
        <w:t>mEq</w:t>
      </w:r>
      <w:proofErr w:type="spellEnd"/>
      <w:r w:rsidRPr="00B82F4C">
        <w:rPr>
          <w:rFonts w:ascii="Times-Roman" w:hAnsi="Times-Roman" w:cs="Times-Roman"/>
          <w:sz w:val="24"/>
          <w:szCs w:val="24"/>
        </w:rPr>
        <w:t>) % 0.9 Sodyum Klorür Enjeksiyon içinde.</w:t>
      </w: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Kullanılmamış olan ürünler ya da artık materyaller “Tıbbi Atıkların Kontrolü Yönetmeliği” ve</w:t>
      </w: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F4C">
        <w:rPr>
          <w:rFonts w:ascii="Times New Roman" w:hAnsi="Times New Roman" w:cs="Times New Roman"/>
          <w:sz w:val="24"/>
          <w:szCs w:val="24"/>
        </w:rPr>
        <w:t>“Ambalaj ve Ambalaj Atıkları Kontrolü Yönetmeliği” ne uygun olarak imha edilmelidir.</w:t>
      </w:r>
    </w:p>
    <w:p w:rsidR="008F12A2" w:rsidRPr="00B82F4C" w:rsidRDefault="008F12A2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7. RUHSAT SAHİBİ</w:t>
      </w:r>
    </w:p>
    <w:p w:rsidR="00AC514F" w:rsidRPr="00B82F4C" w:rsidRDefault="00AC514F" w:rsidP="008F12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F4C">
        <w:rPr>
          <w:rFonts w:ascii="Times New Roman" w:hAnsi="Times New Roman"/>
          <w:sz w:val="24"/>
          <w:szCs w:val="24"/>
        </w:rPr>
        <w:t>Deva Holding A.Ş.</w:t>
      </w:r>
    </w:p>
    <w:p w:rsidR="00AC514F" w:rsidRPr="00B82F4C" w:rsidRDefault="00AC514F" w:rsidP="008F12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F4C">
        <w:rPr>
          <w:rFonts w:ascii="Times New Roman" w:hAnsi="Times New Roman"/>
          <w:sz w:val="24"/>
          <w:szCs w:val="24"/>
        </w:rPr>
        <w:t>Halkalı Merkez Mah. Basın Ek</w:t>
      </w:r>
      <w:r w:rsidR="00FB7A92">
        <w:rPr>
          <w:rFonts w:ascii="Times New Roman" w:hAnsi="Times New Roman"/>
          <w:sz w:val="24"/>
          <w:szCs w:val="24"/>
        </w:rPr>
        <w:t>s</w:t>
      </w:r>
      <w:r w:rsidRPr="00B82F4C">
        <w:rPr>
          <w:rFonts w:ascii="Times New Roman" w:hAnsi="Times New Roman"/>
          <w:sz w:val="24"/>
          <w:szCs w:val="24"/>
        </w:rPr>
        <w:t>pres Cad.</w:t>
      </w:r>
    </w:p>
    <w:p w:rsidR="00AC514F" w:rsidRPr="00B82F4C" w:rsidRDefault="00FB7A92" w:rsidP="008F12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No:</w:t>
      </w:r>
      <w:proofErr w:type="gramStart"/>
      <w:r>
        <w:rPr>
          <w:rFonts w:ascii="Times New Roman" w:hAnsi="Times New Roman"/>
          <w:sz w:val="24"/>
          <w:szCs w:val="24"/>
        </w:rPr>
        <w:t>1  34303</w:t>
      </w:r>
      <w:proofErr w:type="gramEnd"/>
      <w:r>
        <w:rPr>
          <w:rFonts w:ascii="Times New Roman" w:hAnsi="Times New Roman"/>
          <w:sz w:val="24"/>
          <w:szCs w:val="24"/>
        </w:rPr>
        <w:t xml:space="preserve">  Küçükçekmece/</w:t>
      </w:r>
      <w:r w:rsidRPr="00B82F4C">
        <w:rPr>
          <w:rFonts w:ascii="Times New Roman" w:hAnsi="Times New Roman"/>
          <w:sz w:val="24"/>
          <w:szCs w:val="24"/>
        </w:rPr>
        <w:t>İSTANBUL</w:t>
      </w:r>
    </w:p>
    <w:p w:rsidR="00AC514F" w:rsidRPr="00B82F4C" w:rsidRDefault="00AC514F" w:rsidP="008F12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F4C">
        <w:rPr>
          <w:rFonts w:ascii="Times New Roman" w:hAnsi="Times New Roman"/>
          <w:b/>
          <w:sz w:val="24"/>
          <w:szCs w:val="24"/>
        </w:rPr>
        <w:t>Tel:</w:t>
      </w:r>
      <w:r w:rsidRPr="00B82F4C">
        <w:rPr>
          <w:rFonts w:ascii="Times New Roman" w:hAnsi="Times New Roman"/>
          <w:sz w:val="24"/>
          <w:szCs w:val="24"/>
        </w:rPr>
        <w:t xml:space="preserve">    0212 692 92 </w:t>
      </w:r>
      <w:proofErr w:type="spellStart"/>
      <w:r w:rsidRPr="00B82F4C">
        <w:rPr>
          <w:rFonts w:ascii="Times New Roman" w:hAnsi="Times New Roman"/>
          <w:sz w:val="24"/>
          <w:szCs w:val="24"/>
        </w:rPr>
        <w:t>92</w:t>
      </w:r>
      <w:proofErr w:type="spellEnd"/>
      <w:r w:rsidRPr="00B82F4C">
        <w:rPr>
          <w:rFonts w:ascii="Times New Roman" w:hAnsi="Times New Roman"/>
          <w:sz w:val="24"/>
          <w:szCs w:val="24"/>
        </w:rPr>
        <w:t xml:space="preserve"> </w:t>
      </w:r>
    </w:p>
    <w:p w:rsidR="00AC514F" w:rsidRDefault="00AC514F" w:rsidP="008F12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82F4C">
        <w:rPr>
          <w:rFonts w:ascii="Times New Roman" w:hAnsi="Times New Roman"/>
          <w:b/>
          <w:sz w:val="24"/>
          <w:szCs w:val="24"/>
        </w:rPr>
        <w:t>Faks:</w:t>
      </w:r>
      <w:r w:rsidRPr="00B82F4C">
        <w:rPr>
          <w:rFonts w:ascii="Times New Roman" w:hAnsi="Times New Roman"/>
          <w:sz w:val="24"/>
          <w:szCs w:val="24"/>
        </w:rPr>
        <w:t xml:space="preserve"> 0212 697 00 24</w:t>
      </w:r>
    </w:p>
    <w:p w:rsidR="00FB7A92" w:rsidRPr="00B82F4C" w:rsidRDefault="00FB7A92" w:rsidP="008F12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8. RUHSAT NUMARASI</w:t>
      </w:r>
    </w:p>
    <w:p w:rsidR="00AC514F" w:rsidRDefault="00AC514F" w:rsidP="008F12A2">
      <w:pPr>
        <w:spacing w:after="0"/>
        <w:rPr>
          <w:rFonts w:ascii="Times New Roman" w:hAnsi="Times New Roman"/>
          <w:sz w:val="24"/>
          <w:szCs w:val="24"/>
        </w:rPr>
      </w:pPr>
      <w:r w:rsidRPr="00B82F4C">
        <w:rPr>
          <w:rFonts w:ascii="Times New Roman" w:hAnsi="Times New Roman"/>
          <w:sz w:val="24"/>
          <w:szCs w:val="24"/>
        </w:rPr>
        <w:t>203/85</w:t>
      </w:r>
    </w:p>
    <w:p w:rsidR="00FB7A92" w:rsidRPr="00B82F4C" w:rsidRDefault="00FB7A92" w:rsidP="008F12A2">
      <w:pPr>
        <w:spacing w:after="0"/>
      </w:pPr>
    </w:p>
    <w:p w:rsidR="00AC514F" w:rsidRPr="00B82F4C" w:rsidRDefault="00AC514F" w:rsidP="008F1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9. İLK RUHSAT TARİHİ / RUHSAT YENİLEME TARİHİ</w:t>
      </w:r>
    </w:p>
    <w:p w:rsidR="00AC514F" w:rsidRPr="00B82F4C" w:rsidRDefault="00FB7A92" w:rsidP="008F12A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İlk ruhsat</w:t>
      </w:r>
      <w:r w:rsidR="00AC514F" w:rsidRPr="00B82F4C">
        <w:rPr>
          <w:rFonts w:ascii="Times New Roman" w:hAnsi="Times New Roman" w:cs="Times New Roman"/>
          <w:sz w:val="24"/>
          <w:szCs w:val="24"/>
        </w:rPr>
        <w:t xml:space="preserve"> tarihi: </w:t>
      </w:r>
      <w:r w:rsidR="00AC514F" w:rsidRPr="00B82F4C">
        <w:rPr>
          <w:rFonts w:ascii="Times New Roman" w:hAnsi="Times New Roman"/>
          <w:sz w:val="24"/>
          <w:szCs w:val="24"/>
        </w:rPr>
        <w:t>01.03.2004</w:t>
      </w:r>
    </w:p>
    <w:p w:rsidR="00AC514F" w:rsidRPr="00B82F4C" w:rsidRDefault="00FB7A92" w:rsidP="008F1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Ruhsat</w:t>
      </w:r>
      <w:r w:rsidR="00AC514F" w:rsidRPr="00B82F4C">
        <w:rPr>
          <w:rFonts w:ascii="Times New Roman" w:hAnsi="Times New Roman" w:cs="Times New Roman"/>
          <w:sz w:val="24"/>
          <w:szCs w:val="24"/>
        </w:rPr>
        <w:t xml:space="preserve"> yenileme tarihi: </w:t>
      </w:r>
    </w:p>
    <w:p w:rsidR="008F12A2" w:rsidRPr="00B82F4C" w:rsidRDefault="008F12A2" w:rsidP="008F1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63D" w:rsidRDefault="00AC514F" w:rsidP="002B21C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82F4C">
        <w:rPr>
          <w:rFonts w:ascii="Times New Roman" w:hAnsi="Times New Roman" w:cs="Times New Roman"/>
          <w:b/>
          <w:bCs/>
          <w:sz w:val="24"/>
          <w:szCs w:val="24"/>
        </w:rPr>
        <w:t>10. KÜB’ÜN YENİLENME TARİHİ</w:t>
      </w:r>
    </w:p>
    <w:p w:rsidR="00940A62" w:rsidRDefault="00940A62" w:rsidP="00940A6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19.01.2015</w:t>
      </w:r>
    </w:p>
    <w:sectPr w:rsidR="00940A62" w:rsidSect="007076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AF" w:rsidRDefault="007338AF" w:rsidP="00B749F5">
      <w:pPr>
        <w:spacing w:after="0" w:line="240" w:lineRule="auto"/>
      </w:pPr>
      <w:r>
        <w:separator/>
      </w:r>
    </w:p>
  </w:endnote>
  <w:endnote w:type="continuationSeparator" w:id="0">
    <w:p w:rsidR="007338AF" w:rsidRDefault="007338AF" w:rsidP="00B74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9695"/>
      <w:docPartObj>
        <w:docPartGallery w:val="Page Numbers (Bottom of Page)"/>
        <w:docPartUnique/>
      </w:docPartObj>
    </w:sdtPr>
    <w:sdtContent>
      <w:p w:rsidR="004C0107" w:rsidRDefault="002F64DE">
        <w:pPr>
          <w:pStyle w:val="Altbilgi"/>
          <w:jc w:val="right"/>
        </w:pPr>
        <w:fldSimple w:instr=" PAGE   \* MERGEFORMAT ">
          <w:r w:rsidR="00940A62">
            <w:rPr>
              <w:noProof/>
            </w:rPr>
            <w:t>12</w:t>
          </w:r>
        </w:fldSimple>
      </w:p>
    </w:sdtContent>
  </w:sdt>
  <w:p w:rsidR="004C0107" w:rsidRDefault="004C010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AF" w:rsidRDefault="007338AF" w:rsidP="00B749F5">
      <w:pPr>
        <w:spacing w:after="0" w:line="240" w:lineRule="auto"/>
      </w:pPr>
      <w:r>
        <w:separator/>
      </w:r>
    </w:p>
  </w:footnote>
  <w:footnote w:type="continuationSeparator" w:id="0">
    <w:p w:rsidR="007338AF" w:rsidRDefault="007338AF" w:rsidP="00B74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37EC"/>
    <w:multiLevelType w:val="hybridMultilevel"/>
    <w:tmpl w:val="B70E1016"/>
    <w:lvl w:ilvl="0" w:tplc="5F2471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9F5"/>
    <w:rsid w:val="000419AD"/>
    <w:rsid w:val="000B2910"/>
    <w:rsid w:val="000F3E48"/>
    <w:rsid w:val="001178E7"/>
    <w:rsid w:val="00175A26"/>
    <w:rsid w:val="001E19D6"/>
    <w:rsid w:val="002231C0"/>
    <w:rsid w:val="002257F6"/>
    <w:rsid w:val="00250E27"/>
    <w:rsid w:val="002A1B53"/>
    <w:rsid w:val="002B21CB"/>
    <w:rsid w:val="002F64DE"/>
    <w:rsid w:val="00307D9E"/>
    <w:rsid w:val="0033233B"/>
    <w:rsid w:val="003733C1"/>
    <w:rsid w:val="00397DD0"/>
    <w:rsid w:val="003E5F14"/>
    <w:rsid w:val="00446907"/>
    <w:rsid w:val="004A55B7"/>
    <w:rsid w:val="004B42AD"/>
    <w:rsid w:val="004C0107"/>
    <w:rsid w:val="00517654"/>
    <w:rsid w:val="00563EA3"/>
    <w:rsid w:val="006037FA"/>
    <w:rsid w:val="00653E9A"/>
    <w:rsid w:val="00697109"/>
    <w:rsid w:val="006B65EE"/>
    <w:rsid w:val="006B726D"/>
    <w:rsid w:val="006F4BA9"/>
    <w:rsid w:val="0070763D"/>
    <w:rsid w:val="00717CB4"/>
    <w:rsid w:val="007338AF"/>
    <w:rsid w:val="007709B0"/>
    <w:rsid w:val="0078323E"/>
    <w:rsid w:val="007E091D"/>
    <w:rsid w:val="00832CF3"/>
    <w:rsid w:val="008D6FDA"/>
    <w:rsid w:val="008F12A2"/>
    <w:rsid w:val="00940A62"/>
    <w:rsid w:val="00954F1C"/>
    <w:rsid w:val="009D0B5F"/>
    <w:rsid w:val="00A30D5B"/>
    <w:rsid w:val="00A649A6"/>
    <w:rsid w:val="00A75DC6"/>
    <w:rsid w:val="00AC514F"/>
    <w:rsid w:val="00B11F7E"/>
    <w:rsid w:val="00B735D0"/>
    <w:rsid w:val="00B749F5"/>
    <w:rsid w:val="00B82F4C"/>
    <w:rsid w:val="00B8329E"/>
    <w:rsid w:val="00B90C97"/>
    <w:rsid w:val="00BC3772"/>
    <w:rsid w:val="00BD56F1"/>
    <w:rsid w:val="00BD746A"/>
    <w:rsid w:val="00CE5352"/>
    <w:rsid w:val="00D0433E"/>
    <w:rsid w:val="00D05124"/>
    <w:rsid w:val="00D21FFE"/>
    <w:rsid w:val="00DB79DA"/>
    <w:rsid w:val="00DF4D8A"/>
    <w:rsid w:val="00E008B0"/>
    <w:rsid w:val="00E62343"/>
    <w:rsid w:val="00E768AA"/>
    <w:rsid w:val="00E942F5"/>
    <w:rsid w:val="00F02982"/>
    <w:rsid w:val="00F400D2"/>
    <w:rsid w:val="00FB7A92"/>
    <w:rsid w:val="00FF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7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749F5"/>
  </w:style>
  <w:style w:type="paragraph" w:styleId="Altbilgi">
    <w:name w:val="footer"/>
    <w:basedOn w:val="Normal"/>
    <w:link w:val="AltbilgiChar"/>
    <w:uiPriority w:val="99"/>
    <w:unhideWhenUsed/>
    <w:rsid w:val="00B74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49F5"/>
  </w:style>
  <w:style w:type="paragraph" w:styleId="ListeParagraf">
    <w:name w:val="List Paragraph"/>
    <w:basedOn w:val="Normal"/>
    <w:uiPriority w:val="34"/>
    <w:qFormat/>
    <w:rsid w:val="002A1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osemiz</dc:creator>
  <cp:keywords/>
  <dc:description/>
  <cp:lastModifiedBy>fersari</cp:lastModifiedBy>
  <cp:revision>11</cp:revision>
  <cp:lastPrinted>2014-11-18T08:16:00Z</cp:lastPrinted>
  <dcterms:created xsi:type="dcterms:W3CDTF">2014-10-21T07:43:00Z</dcterms:created>
  <dcterms:modified xsi:type="dcterms:W3CDTF">2015-01-28T14:13:00Z</dcterms:modified>
</cp:coreProperties>
</file>