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D1" w:rsidRPr="00B63112" w:rsidRDefault="007240D1" w:rsidP="006F6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2B1773" w:rsidRPr="00B63112" w:rsidRDefault="002B1773" w:rsidP="006F69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BEŞERİ TIBBİ </w:t>
      </w:r>
      <w:r w:rsidRPr="00B63112">
        <w:rPr>
          <w:rFonts w:ascii="Times New Roman" w:hAnsi="Times New Roman" w:cs="Times New Roman"/>
          <w:b/>
          <w:sz w:val="24"/>
          <w:szCs w:val="24"/>
        </w:rPr>
        <w:t xml:space="preserve">ÜRÜNÜN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ADI</w:t>
      </w:r>
    </w:p>
    <w:p w:rsidR="006F6926" w:rsidRPr="00B63112" w:rsidRDefault="00E0624C" w:rsidP="00E06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DEVASİD 1.0 g İ.M./ İ.V.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Toz İçeren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</w:p>
    <w:p w:rsidR="007F0D64" w:rsidRPr="00B63112" w:rsidRDefault="007F0D64" w:rsidP="00E062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926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ab/>
        <w:t>KALİTATİF VE KANTİTATİF BİLEŞİM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74317E" w:rsidRPr="00B63112" w:rsidRDefault="0074317E" w:rsidP="00743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Her bir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;</w:t>
      </w:r>
    </w:p>
    <w:p w:rsidR="0074317E" w:rsidRPr="00B63112" w:rsidRDefault="0074317E" w:rsidP="0074317E">
      <w:pPr>
        <w:tabs>
          <w:tab w:val="righ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>500.0 mg**</w:t>
      </w:r>
    </w:p>
    <w:p w:rsidR="0074317E" w:rsidRPr="00B63112" w:rsidRDefault="0074317E" w:rsidP="0074317E">
      <w:pPr>
        <w:tabs>
          <w:tab w:val="right" w:pos="396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  <w:u w:val="dotted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>1000.0 mg**</w:t>
      </w:r>
    </w:p>
    <w:p w:rsidR="0074317E" w:rsidRPr="00B63112" w:rsidRDefault="0074317E" w:rsidP="00743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Sulbaktam’a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eşdeğer miktarda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kullanılır.</w:t>
      </w:r>
    </w:p>
    <w:p w:rsidR="0074317E" w:rsidRPr="00B63112" w:rsidRDefault="0074317E" w:rsidP="007431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Ampisilin’e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eşdeğer miktarda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kullanılır.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Yardımcı maddeler için 6.1'e bakınız.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FARMASÖTİK FORM</w:t>
      </w:r>
    </w:p>
    <w:p w:rsidR="00324C0A" w:rsidRPr="00B63112" w:rsidRDefault="00324C0A" w:rsidP="00324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toz içeren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çözücü sıvı</w:t>
      </w:r>
    </w:p>
    <w:p w:rsidR="00324C0A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Beyaz </w:t>
      </w:r>
      <w:r w:rsidR="00324C0A" w:rsidRPr="00B63112">
        <w:rPr>
          <w:rFonts w:ascii="Times New Roman" w:hAnsi="Times New Roman" w:cs="Times New Roman"/>
          <w:sz w:val="24"/>
          <w:szCs w:val="24"/>
        </w:rPr>
        <w:t>veya beyazımsı renkte</w:t>
      </w:r>
      <w:r w:rsidRPr="00B63112">
        <w:rPr>
          <w:rFonts w:ascii="Times New Roman" w:hAnsi="Times New Roman" w:cs="Times New Roman"/>
          <w:sz w:val="24"/>
          <w:szCs w:val="24"/>
        </w:rPr>
        <w:t xml:space="preserve"> toz 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>KLİNİK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ÖZELLİKLER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4.1.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duyarlı mikroorganizmaların neden olduğu enfeksiyonlarda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. Tipik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endikasyonları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arasında sinüzit,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epiglottit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, bakteriyel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pnömoniler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dahil üst ve alt solunum yolu enfeksiyonları; idrar yolu enfeksiyonları ve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piyelonefrit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; peritonit,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kolesistit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endometrit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selülit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dahil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intraabdominal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enfeksiyonlar; bakteriyel septisemi; deri yumuşak doku, kemik ve eklem enfeksiyonları ve gonokok enfeksiyonları bulunur.</w:t>
      </w:r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cerrahi müdahale yapılan ve periton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kontaminasyonu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ihtimali olan hastalarda post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yara enfeksiyon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insidansını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azaltmak üzere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olarak da kullanılabilir. Post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operatif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sepsisi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azaltm</w:t>
      </w:r>
      <w:r w:rsidRPr="00B63112">
        <w:rPr>
          <w:rFonts w:ascii="Times New Roman" w:hAnsi="Times New Roman" w:cs="Times New Roman"/>
          <w:sz w:val="24"/>
          <w:szCs w:val="24"/>
        </w:rPr>
        <w:t>ak amacıyla, gebeliğin sonlandırıl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ması veya sezaryen ameliyatı sonrası </w:t>
      </w: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olarak kullanılabilir.</w:t>
      </w:r>
    </w:p>
    <w:p w:rsidR="00BD2D9A" w:rsidRPr="00B63112" w:rsidRDefault="00BD2D9A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ve uygulama şekli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>/ uygulama sıklığı ve süresi:</w:t>
      </w:r>
    </w:p>
    <w:p w:rsidR="002D283A" w:rsidRPr="00B63112" w:rsidRDefault="005076F3" w:rsidP="002D2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lastRenderedPageBreak/>
        <w:t>DEVASİD</w:t>
      </w:r>
      <w:r w:rsidR="002D283A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3A" w:rsidRPr="00B6311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2D283A" w:rsidRPr="00B63112">
        <w:rPr>
          <w:rFonts w:ascii="Times New Roman" w:hAnsi="Times New Roman" w:cs="Times New Roman"/>
          <w:sz w:val="24"/>
          <w:szCs w:val="24"/>
        </w:rPr>
        <w:t xml:space="preserve"> uygulama için aşağıdaki miktarlarda </w:t>
      </w:r>
      <w:proofErr w:type="spellStart"/>
      <w:r w:rsidR="002D283A" w:rsidRPr="00B6311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="002D283A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83A" w:rsidRPr="00B63112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="002D283A" w:rsidRPr="00B63112">
        <w:rPr>
          <w:rFonts w:ascii="Times New Roman" w:hAnsi="Times New Roman" w:cs="Times New Roman"/>
          <w:sz w:val="24"/>
          <w:szCs w:val="24"/>
        </w:rPr>
        <w:t xml:space="preserve"> ile eritilebilir.</w:t>
      </w:r>
    </w:p>
    <w:p w:rsidR="00B95F17" w:rsidRPr="00B63112" w:rsidRDefault="00B95F17" w:rsidP="002D2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4"/>
        <w:gridCol w:w="1697"/>
        <w:gridCol w:w="1843"/>
        <w:gridCol w:w="1471"/>
        <w:gridCol w:w="1665"/>
      </w:tblGrid>
      <w:tr w:rsidR="00680CFF" w:rsidRPr="00B63112" w:rsidTr="002B1773">
        <w:trPr>
          <w:trHeight w:hRule="exact" w:val="918"/>
        </w:trPr>
        <w:tc>
          <w:tcPr>
            <w:tcW w:w="2414" w:type="dxa"/>
            <w:shd w:val="clear" w:color="auto" w:fill="FFFFFF"/>
          </w:tcPr>
          <w:p w:rsidR="007240D1" w:rsidRPr="00B63112" w:rsidRDefault="008C533F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Ampisilin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Sulbaktam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D1" w:rsidRPr="00B63112">
              <w:rPr>
                <w:rFonts w:ascii="Times New Roman" w:hAnsi="Times New Roman" w:cs="Times New Roman"/>
                <w:sz w:val="24"/>
                <w:szCs w:val="24"/>
              </w:rPr>
              <w:t>Eşdeğer Dozlar (mg)</w:t>
            </w:r>
          </w:p>
        </w:tc>
        <w:tc>
          <w:tcPr>
            <w:tcW w:w="1697" w:type="dxa"/>
            <w:shd w:val="clear" w:color="auto" w:fill="FFFFFF"/>
          </w:tcPr>
          <w:p w:rsidR="007240D1" w:rsidRPr="00B63112" w:rsidRDefault="008C533F" w:rsidP="002B177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Toplam doz</w:t>
            </w:r>
            <w:r w:rsidR="007240D1" w:rsidRPr="00B63112">
              <w:rPr>
                <w:rFonts w:ascii="Times New Roman" w:hAnsi="Times New Roman" w:cs="Times New Roman"/>
                <w:sz w:val="24"/>
                <w:szCs w:val="24"/>
              </w:rPr>
              <w:t>(mg)</w:t>
            </w:r>
          </w:p>
        </w:tc>
        <w:tc>
          <w:tcPr>
            <w:tcW w:w="1843" w:type="dxa"/>
            <w:shd w:val="clear" w:color="auto" w:fill="FFFFFF"/>
          </w:tcPr>
          <w:p w:rsidR="002B1773" w:rsidRPr="00B63112" w:rsidRDefault="008C533F" w:rsidP="002B1773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Ambalaj</w:t>
            </w:r>
          </w:p>
          <w:p w:rsidR="007240D1" w:rsidRPr="00B63112" w:rsidRDefault="007240D1" w:rsidP="002B1773">
            <w:pPr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flakon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  <w:shd w:val="clear" w:color="auto" w:fill="FFFFFF"/>
          </w:tcPr>
          <w:p w:rsidR="007240D1" w:rsidRPr="00B63112" w:rsidRDefault="002D283A" w:rsidP="002D283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Lidokain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 miktarı </w:t>
            </w:r>
            <w:r w:rsidR="007240D1" w:rsidRPr="00B63112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8C533F" w:rsidRPr="00B6311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240D1" w:rsidRPr="00B63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  <w:shd w:val="clear" w:color="auto" w:fill="FFFFFF"/>
          </w:tcPr>
          <w:p w:rsidR="007240D1" w:rsidRPr="00B63112" w:rsidRDefault="008B307D" w:rsidP="008B307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Maksimum son</w:t>
            </w:r>
            <w:r w:rsidR="008C533F"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0D1"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konsantrasyon </w:t>
            </w: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40D1" w:rsidRPr="00B63112">
              <w:rPr>
                <w:rFonts w:ascii="Times New Roman" w:hAnsi="Times New Roman" w:cs="Times New Roman"/>
                <w:sz w:val="24"/>
                <w:szCs w:val="24"/>
              </w:rPr>
              <w:t>mg/ml)</w:t>
            </w:r>
          </w:p>
        </w:tc>
      </w:tr>
      <w:tr w:rsidR="00680CFF" w:rsidRPr="00B63112" w:rsidTr="002B1773">
        <w:trPr>
          <w:trHeight w:hRule="exact" w:val="280"/>
        </w:trPr>
        <w:tc>
          <w:tcPr>
            <w:tcW w:w="2414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250 + 125</w:t>
            </w:r>
          </w:p>
        </w:tc>
        <w:tc>
          <w:tcPr>
            <w:tcW w:w="1697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43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C533F" w:rsidRPr="00B6311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471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665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250+125</w:t>
            </w:r>
          </w:p>
        </w:tc>
      </w:tr>
      <w:tr w:rsidR="00680CFF" w:rsidRPr="00B63112" w:rsidTr="002B1773">
        <w:trPr>
          <w:trHeight w:hRule="exact" w:val="303"/>
        </w:trPr>
        <w:tc>
          <w:tcPr>
            <w:tcW w:w="2414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500 + 250</w:t>
            </w:r>
          </w:p>
        </w:tc>
        <w:tc>
          <w:tcPr>
            <w:tcW w:w="1697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843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8C533F" w:rsidRPr="00B6311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471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665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250+125</w:t>
            </w:r>
          </w:p>
        </w:tc>
      </w:tr>
      <w:tr w:rsidR="00680CFF" w:rsidRPr="00B63112" w:rsidTr="002B1773">
        <w:trPr>
          <w:trHeight w:hRule="exact" w:val="297"/>
        </w:trPr>
        <w:tc>
          <w:tcPr>
            <w:tcW w:w="2414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1000 + 500</w:t>
            </w:r>
          </w:p>
        </w:tc>
        <w:tc>
          <w:tcPr>
            <w:tcW w:w="1697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43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C533F" w:rsidRPr="00B6311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471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65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250 + 125</w:t>
            </w:r>
          </w:p>
        </w:tc>
      </w:tr>
      <w:tr w:rsidR="00680CFF" w:rsidRPr="00B63112" w:rsidTr="002B1773">
        <w:trPr>
          <w:trHeight w:hRule="exact" w:val="325"/>
        </w:trPr>
        <w:tc>
          <w:tcPr>
            <w:tcW w:w="2414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2000 + 1000</w:t>
            </w:r>
          </w:p>
        </w:tc>
        <w:tc>
          <w:tcPr>
            <w:tcW w:w="1697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C533F" w:rsidRPr="00B63112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</w:p>
        </w:tc>
        <w:tc>
          <w:tcPr>
            <w:tcW w:w="1471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665" w:type="dxa"/>
            <w:shd w:val="clear" w:color="auto" w:fill="FFFFFF"/>
          </w:tcPr>
          <w:p w:rsidR="007240D1" w:rsidRPr="00B63112" w:rsidRDefault="007240D1" w:rsidP="008C533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250+125</w:t>
            </w:r>
          </w:p>
        </w:tc>
      </w:tr>
    </w:tbl>
    <w:p w:rsidR="00680CFF" w:rsidRPr="00B63112" w:rsidRDefault="00680CF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  <w:u w:val="single"/>
        </w:rPr>
        <w:t>İntravenöz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  <w:u w:val="single"/>
        </w:rPr>
        <w:t xml:space="preserve"> uygulama:</w:t>
      </w:r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enjeksiyonluk steril su veya uyumlu olduğu bir solüsyonla sulandırılmalıdır (Bkz. Bölüm 6.6). Oluşabilecek köpüklerin kaybolması ve tam çözündüğünün gözle tetkiki için bir süre bırakılmalıdır. Doz 3 dakikadan daha uzun bir sürede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bolus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enjeksiyonu olarak veya daha büyük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dilüsyonlarda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15-30 dakika süreli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halinde verilebilir.</w:t>
      </w:r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</w:t>
      </w:r>
      <w:r w:rsidR="007240D1" w:rsidRPr="00B63112">
        <w:rPr>
          <w:rFonts w:ascii="Times New Roman" w:hAnsi="Times New Roman" w:cs="Times New Roman"/>
          <w:sz w:val="24"/>
          <w:szCs w:val="24"/>
        </w:rPr>
        <w:t>ntramusküler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uygulama:</w:t>
      </w:r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enjeksiyonluk steril su ile sulandırılmalıdır.</w:t>
      </w:r>
    </w:p>
    <w:p w:rsidR="007240D1" w:rsidRPr="00B63112" w:rsidRDefault="002B1773" w:rsidP="002B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>derin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enjeksiyon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>olarak kalça gibi büyük kas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>dokusundan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uygulanabilir. Sulandırmadan sonra 1 saat içerisinde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enjeksiyon yapılmalıdır.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İM uygulamada ağrı olursa sulandırmada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 % 0.5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anhidröz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hidroklorürün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steril</w:t>
      </w:r>
      <w:r w:rsidR="002B1773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>enjeksiyonluk solüsyonu kullanılabilir.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Doktor tarafından başka şekilde tavsiye edilmediği takdirde: Böbrek fonksiyonu normal olan erişkinlerde </w:t>
      </w:r>
      <w:proofErr w:type="spellStart"/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mutad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günlük doz aralığı 1.5 g (1000 mg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+ 5</w:t>
      </w:r>
      <w:r w:rsidR="00622C65" w:rsidRPr="00B63112">
        <w:rPr>
          <w:rFonts w:ascii="Times New Roman" w:hAnsi="Times New Roman" w:cs="Times New Roman"/>
          <w:sz w:val="24"/>
          <w:szCs w:val="24"/>
        </w:rPr>
        <w:t xml:space="preserve">00 mg </w:t>
      </w:r>
      <w:proofErr w:type="spellStart"/>
      <w:r w:rsidR="00622C65" w:rsidRPr="00B63112">
        <w:rPr>
          <w:rFonts w:ascii="Times New Roman" w:hAnsi="Times New Roman" w:cs="Times New Roman"/>
          <w:sz w:val="24"/>
          <w:szCs w:val="24"/>
        </w:rPr>
        <w:t>sulbaktam'a</w:t>
      </w:r>
      <w:proofErr w:type="spellEnd"/>
      <w:r w:rsidR="00622C65" w:rsidRPr="00B63112">
        <w:rPr>
          <w:rFonts w:ascii="Times New Roman" w:hAnsi="Times New Roman" w:cs="Times New Roman"/>
          <w:sz w:val="24"/>
          <w:szCs w:val="24"/>
        </w:rPr>
        <w:t xml:space="preserve"> tekabül eden 1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="00622C65" w:rsidRPr="00B63112">
        <w:rPr>
          <w:rFonts w:ascii="Times New Roman" w:hAnsi="Times New Roman" w:cs="Times New Roman"/>
          <w:sz w:val="24"/>
          <w:szCs w:val="24"/>
        </w:rPr>
        <w:t xml:space="preserve"> 1</w:t>
      </w:r>
      <w:r w:rsidRPr="00B63112">
        <w:rPr>
          <w:rFonts w:ascii="Times New Roman" w:hAnsi="Times New Roman" w:cs="Times New Roman"/>
          <w:sz w:val="24"/>
          <w:szCs w:val="24"/>
        </w:rPr>
        <w:t xml:space="preserve"> g) ila 12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g'dır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(8000 mg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+ 4000 mg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sulbaktam'a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teka</w:t>
      </w:r>
      <w:r w:rsidR="00622C65" w:rsidRPr="00B63112">
        <w:rPr>
          <w:rFonts w:ascii="Times New Roman" w:hAnsi="Times New Roman" w:cs="Times New Roman"/>
          <w:sz w:val="24"/>
          <w:szCs w:val="24"/>
        </w:rPr>
        <w:t>bül eden 8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="00622C65" w:rsidRPr="00B63112">
        <w:rPr>
          <w:rFonts w:ascii="Times New Roman" w:hAnsi="Times New Roman" w:cs="Times New Roman"/>
          <w:sz w:val="24"/>
          <w:szCs w:val="24"/>
        </w:rPr>
        <w:t xml:space="preserve"> 1</w:t>
      </w:r>
      <w:r w:rsidRPr="00B63112">
        <w:rPr>
          <w:rFonts w:ascii="Times New Roman" w:hAnsi="Times New Roman" w:cs="Times New Roman"/>
          <w:sz w:val="24"/>
          <w:szCs w:val="24"/>
        </w:rPr>
        <w:t xml:space="preserve"> g).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günlük maksimum dozu 4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g'dır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. Günlük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dozları genellikle 6-8 saatlik aralara bölünerek verilir. Şiddetli olmayan enfeksiyonlar 12 saatte bir uygulama ile tedavi edilebilir.</w:t>
      </w:r>
    </w:p>
    <w:p w:rsidR="006E7E10" w:rsidRPr="00B63112" w:rsidRDefault="006E7E10" w:rsidP="006B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B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Enfeksiyonun Şiddeti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 xml:space="preserve">Günlük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dozu (g)</w:t>
      </w:r>
    </w:p>
    <w:p w:rsidR="007240D1" w:rsidRPr="00B63112" w:rsidRDefault="007240D1" w:rsidP="006B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Hafif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>1.5 - 3 g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 </w:t>
      </w:r>
      <w:r w:rsidRPr="00B63112">
        <w:rPr>
          <w:rFonts w:ascii="Times New Roman" w:hAnsi="Times New Roman" w:cs="Times New Roman"/>
          <w:sz w:val="24"/>
          <w:szCs w:val="24"/>
        </w:rPr>
        <w:t xml:space="preserve">( 1-2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. + 0.5-1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.)</w:t>
      </w:r>
    </w:p>
    <w:p w:rsidR="007240D1" w:rsidRPr="00B63112" w:rsidRDefault="007240D1" w:rsidP="006B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Orta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g'a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 (4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. + 2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.)</w:t>
      </w:r>
    </w:p>
    <w:p w:rsidR="007240D1" w:rsidRPr="00B63112" w:rsidRDefault="007240D1" w:rsidP="006B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Şiddetli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="006B50F8"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g'a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 ( 8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. + 4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.)</w:t>
      </w:r>
    </w:p>
    <w:p w:rsidR="006B50F8" w:rsidRPr="00B63112" w:rsidRDefault="006B50F8" w:rsidP="006B5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Dozların daha sık veya daha seyrek uygulanması hastalığın şiddetine ve hastanın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fonksiyonlarına göre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olabilir. Tedavi, genellikle ateş düştükten 48 saat sonraya ve diğer anormal belirtiler kaybolana kadar devam ettirilir. Tedavi normal olarak 5-14 gün uygulanır. Hastalığın ciddi olduğu durumlarda tedavi süresi uzatılabilir veya ilave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uygulanabilir.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lastRenderedPageBreak/>
        <w:t xml:space="preserve">Ameliyat enfeksiyonları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operasyon sırasında etkili serum ve doku konsantrasyonları sağlamaya yeterli zaman kalması için anestezi başlangıcında 1.5-3 g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622C65" w:rsidRPr="00B63112">
        <w:rPr>
          <w:rFonts w:ascii="Times New Roman" w:hAnsi="Times New Roman" w:cs="Times New Roman"/>
          <w:sz w:val="24"/>
          <w:szCs w:val="24"/>
        </w:rPr>
        <w:t>(1-2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622C65" w:rsidRPr="00B63112">
        <w:rPr>
          <w:rFonts w:ascii="Times New Roman" w:hAnsi="Times New Roman" w:cs="Times New Roman"/>
          <w:sz w:val="24"/>
          <w:szCs w:val="24"/>
        </w:rPr>
        <w:t>1</w:t>
      </w:r>
      <w:r w:rsidRPr="00B63112">
        <w:rPr>
          <w:rFonts w:ascii="Times New Roman" w:hAnsi="Times New Roman" w:cs="Times New Roman"/>
          <w:sz w:val="24"/>
          <w:szCs w:val="24"/>
        </w:rPr>
        <w:t xml:space="preserve"> g) verilir. Doz 6-8 saat ara ile tekrarlanabilir.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>Eğer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ile bir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kür gerekmiyorsa, ameliyatların çoğunluğunda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uygulama 24 saat sonra durdurulur.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Komplike olmayan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gonore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tedavisinde 1.5 g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(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1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) tek doz olarak verilebilir.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plazma konsantrasyonlarını uzatmak amacıyla beraberinde 1 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oral olarak verilmelidir.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Uygulama şekli:</w:t>
      </w:r>
    </w:p>
    <w:p w:rsidR="00900ECD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olarak uygulanabilir. 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Özel popülasyonlara ilişkin ek bilgiler: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Böbrek / Karaciğer yetmezliği: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Ciddi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fonksiyon bozukluğu olan hastalarda, (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&lt;30 ml/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eliminasyon kinetiği birbirine benzer şekilde etkilenmekte ve birinin ötekine plazma oranı değişmeden kalmaktadır. Böbrek yetmezliğinde doz aralığı, genel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uygulamasında olduğu gibi uzatılır.</w:t>
      </w:r>
    </w:p>
    <w:p w:rsidR="00C8280B" w:rsidRPr="00B63112" w:rsidRDefault="00C8280B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Böbrek Fonksiyon Bozukluğu Olan Hastalarda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Dozaj Uygulaması</w:t>
      </w:r>
    </w:p>
    <w:tbl>
      <w:tblPr>
        <w:tblW w:w="89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9"/>
        <w:gridCol w:w="3135"/>
        <w:gridCol w:w="2992"/>
      </w:tblGrid>
      <w:tr w:rsidR="006B50F8" w:rsidRPr="00B63112" w:rsidTr="00C8280B">
        <w:trPr>
          <w:trHeight w:val="555"/>
        </w:trPr>
        <w:tc>
          <w:tcPr>
            <w:tcW w:w="2849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Kreatinin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klerensi</w:t>
            </w:r>
            <w:proofErr w:type="spellEnd"/>
          </w:p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(ml/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. 1.73 m</w:t>
            </w:r>
            <w:r w:rsidRPr="00B631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5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Ampisilin</w:t>
            </w:r>
            <w:proofErr w:type="spellEnd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Sulbaktam</w:t>
            </w:r>
            <w:proofErr w:type="spellEnd"/>
          </w:p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Yarı Ömrü (saat)</w:t>
            </w:r>
          </w:p>
        </w:tc>
        <w:tc>
          <w:tcPr>
            <w:tcW w:w="2992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Önerilen </w:t>
            </w:r>
            <w:r w:rsidR="002B1773" w:rsidRPr="00B63112">
              <w:rPr>
                <w:rFonts w:ascii="Times New Roman" w:hAnsi="Times New Roman" w:cs="Times New Roman"/>
                <w:sz w:val="24"/>
                <w:szCs w:val="24"/>
              </w:rPr>
              <w:t>DEVASİD</w:t>
            </w: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 xml:space="preserve"> Dozu</w:t>
            </w:r>
          </w:p>
          <w:p w:rsidR="006B50F8" w:rsidRPr="00B63112" w:rsidRDefault="006B50F8" w:rsidP="00C82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F8" w:rsidRPr="00B63112" w:rsidTr="00C8280B">
        <w:trPr>
          <w:trHeight w:hRule="exact" w:val="363"/>
        </w:trPr>
        <w:tc>
          <w:tcPr>
            <w:tcW w:w="2849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&gt;30</w:t>
            </w:r>
          </w:p>
        </w:tc>
        <w:tc>
          <w:tcPr>
            <w:tcW w:w="3135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1.5 - 3 g 6-8 saatte bir</w:t>
            </w:r>
          </w:p>
        </w:tc>
      </w:tr>
      <w:tr w:rsidR="006B50F8" w:rsidRPr="00B63112" w:rsidTr="00C8280B">
        <w:trPr>
          <w:trHeight w:hRule="exact" w:val="366"/>
        </w:trPr>
        <w:tc>
          <w:tcPr>
            <w:tcW w:w="2849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3135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2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1.5 - 3 g 12 saate bir</w:t>
            </w:r>
          </w:p>
        </w:tc>
      </w:tr>
      <w:tr w:rsidR="006B50F8" w:rsidRPr="00B63112" w:rsidTr="00C8280B">
        <w:trPr>
          <w:trHeight w:hRule="exact" w:val="371"/>
        </w:trPr>
        <w:tc>
          <w:tcPr>
            <w:tcW w:w="2849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5-14</w:t>
            </w:r>
          </w:p>
        </w:tc>
        <w:tc>
          <w:tcPr>
            <w:tcW w:w="3135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2" w:type="dxa"/>
            <w:shd w:val="clear" w:color="auto" w:fill="FFFFFF"/>
          </w:tcPr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12">
              <w:rPr>
                <w:rFonts w:ascii="Times New Roman" w:hAnsi="Times New Roman" w:cs="Times New Roman"/>
                <w:sz w:val="24"/>
                <w:szCs w:val="24"/>
              </w:rPr>
              <w:t>1.5 - 3 g 24 saatte bir</w:t>
            </w:r>
          </w:p>
          <w:p w:rsidR="006B50F8" w:rsidRPr="00B63112" w:rsidRDefault="006B50F8" w:rsidP="00C82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80B" w:rsidRPr="00B63112" w:rsidRDefault="00C8280B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Çocuklar, bebekler ve yeni doğanlarda enfeksiyonların çoğu için dozaj 150 mg/kg/gün (100 mg/kg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50 mg/kg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tekabül eder)'dür.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alışılmış uygulamasına uygun olarak çocuklar, bebekler ve yeni doğanlarda dozlar genellikle 6-8 saatte bir olmalıdır. Yeni doğanlarda (özellikle erken doğanlarda) hayatın ilk haftasında tavsiye edilen doz, 12 saatte bir bölünmüş dozlar halinde 75 mg/kg/gün'dür (25 mg/kg/gün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50 mg/kg/gün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tekabül eder).</w:t>
      </w:r>
    </w:p>
    <w:p w:rsidR="00BD2D9A" w:rsidRPr="00B63112" w:rsidRDefault="00BD2D9A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Özgeçmişinde herhangi bir penisiline alerjik reaksiyon bulunan kişilerde bu bileşimin kullanılması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.</w:t>
      </w:r>
    </w:p>
    <w:p w:rsidR="006E7E10" w:rsidRPr="00B63112" w:rsidRDefault="006E7E10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64" w:rsidRPr="00B63112" w:rsidRDefault="007F0D64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4.4.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Özel kullanım uyarıları ve önlemleri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/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dahil olmak üzere, penisilin tedavisi yapılan hastalarda ciddi, hatta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bazan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aşırı duyarlılık (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) reaksiyonları bildirilmiştir. Bu reaksiyonlar daha ziyade geçmişinde penisilin ve/veya birçok alerjene aşırı hassasiyeti olan kişilerde meydana gelirler.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Anamnezinde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penisilin hassasiyeti olan kişiler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tedavi edildiğinde şiddetli reaksiyonlar meydana geldiği bildirilmiştir. Penisilin tedavisinden önce,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 geçmişteki penisilin,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sefalosporin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diğer alerjenlere duyarlılık reaksiyonları olup</w:t>
      </w:r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>olmadığı dikkatle soruşturulmalıdır. Eğer alerjik bir reaksiyon meydana gelirse, ilaç kesilmeli ve uygun tedavi başlatılmalıdır.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Ciddi,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reaksiyonlar adrenalin (epinefrin) ile hemen acil tedavi gerektirir. Oksijen,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steroidler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intubasyon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dahil havayollarının açık tutulması önlemleri gerekli olduğu şekilde uygulanmalıdır.</w:t>
      </w:r>
    </w:p>
    <w:p w:rsidR="007240D1" w:rsidRPr="00B63112" w:rsidRDefault="00900ECD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Her antibiyotik preparatın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da olduğu gibi, mantarlar dahil, duyarlı olmayan organizmaların aşırı üreme belirtileri için devamlı gözlem gereklidir.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Süperinfeksiyon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olduğunda, ilaç kesilmeli ve/veya uygun tedavi uygulanmalıdır.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dahil hemen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tüm antibiyotik ajanlar ile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difficile'ye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bağlı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(CDAD) rapor edilmiştir. Bu durum hafif dereceli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diyareden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kolite kadar değişkenlik gösterebilir.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ajanlarla tedavi kolonun normal florasını değiştirerek </w:t>
      </w:r>
      <w:proofErr w:type="spellStart"/>
      <w:r w:rsidR="00900ECD" w:rsidRPr="00B63112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="00900ECD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00ECD" w:rsidRPr="00B63112">
        <w:rPr>
          <w:rFonts w:ascii="Times New Roman" w:hAnsi="Times New Roman" w:cs="Times New Roman"/>
          <w:i/>
          <w:iCs/>
          <w:sz w:val="24"/>
          <w:szCs w:val="24"/>
        </w:rPr>
        <w:t>diffîcile'nin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>aşırı üremesine neden olur.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diffıcile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CDAD'ya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neden olan A ve B toksinleri üretir. Bu enfeksiyonlar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antimikrobiyal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tedaviye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refrakter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olabileceğinden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kolektomi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gerekebileceğinden </w:t>
      </w:r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diffîcile'n</w:t>
      </w:r>
      <w:r w:rsidR="00900ECD" w:rsidRPr="00B63112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hipertoksin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üreten türleri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mortalitede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artışa neden olur. Antibiyotik kullanımını takiben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görülen tüm hastalarda CDAD olası</w:t>
      </w:r>
      <w:r w:rsidR="00900ECD" w:rsidRPr="00B63112">
        <w:rPr>
          <w:rFonts w:ascii="Times New Roman" w:hAnsi="Times New Roman" w:cs="Times New Roman"/>
          <w:sz w:val="24"/>
          <w:szCs w:val="24"/>
        </w:rPr>
        <w:t xml:space="preserve">lığı dikkate alınmalıdır. </w:t>
      </w:r>
      <w:proofErr w:type="spellStart"/>
      <w:r w:rsidR="00900ECD" w:rsidRPr="00B63112">
        <w:rPr>
          <w:rFonts w:ascii="Times New Roman" w:hAnsi="Times New Roman" w:cs="Times New Roman"/>
          <w:sz w:val="24"/>
          <w:szCs w:val="24"/>
        </w:rPr>
        <w:t>CDAD'nı</w:t>
      </w:r>
      <w:r w:rsidRPr="00B6311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ajanların verilişinden 2 ay sonra ortaya çıktığı rapor edildiği için medikal hikayeye dikkat edilmelidir.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CDAD'dan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şüpheleniliyorsa veya tespit edilmişse </w:t>
      </w:r>
      <w:r w:rsidRPr="00B63112">
        <w:rPr>
          <w:rFonts w:ascii="Times New Roman" w:hAnsi="Times New Roman" w:cs="Times New Roman"/>
          <w:i/>
          <w:iCs/>
          <w:sz w:val="24"/>
          <w:szCs w:val="24"/>
        </w:rPr>
        <w:t>C.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difficile'ye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yönelik olmayan antibiyotik kullanımı kesilmelidir. Uygun sıvı ve elektrolit yönetimi, protein takviyesi,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Cdifficile'ye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>yönelik antibiyotik tedavisi ve cerrahi değerlendirme başlatılmalıdır.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Diğer güçlü sistemik ajanlarda olduğu gibi, uzun süreli tedavilerde,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hematopoetik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sistemler dahil olmak üzere periyodik olarak organ sistem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disfonksiyonu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kontrolü tavsiye edilir. Bu, yeni doğanlarda, özellikle prematürelerde ve diğer bebeklerde önemlidir.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lastRenderedPageBreak/>
        <w:t>Enfeksiyöz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mononükleoz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viral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kaynaklı olup, tedavisinde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 kullanılmamalıdır.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Mononükleozlu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hastalardan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alanların büyük bir yüzdesinde deri döküntüsü görülür.</w:t>
      </w:r>
    </w:p>
    <w:p w:rsidR="00B67269" w:rsidRPr="00B63112" w:rsidRDefault="00B67269" w:rsidP="00B672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Her 1.5 g DEVASİD (1000 mg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+ 500 mg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) yaklaşık 115 mg (5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) sodyum ihtiva eder. Bu durum, kontrollü sodyum diyetinde olan hastalar için göz önünde bulundurulmalıdır.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4.5. Diğer tıbbi ürünler ile etkileşimler ve diğer etkileşim şekilleri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çoğu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çözelti ile uyumludur fakat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(bundan dolayı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sodyum/</w:t>
      </w:r>
      <w:proofErr w:type="spellStart"/>
      <w:r w:rsidR="00743791"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sodyum)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veya diğer karbonhidratları içeren çözeltilerde daha az stabildir ve kan serumundan elde edilen maddeler veya protein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hidrolizatları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ile karıştırılmamalıdır.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Allopurinol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allopurinolün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birlikte kullanımı, hastalarda deri döküntüsü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insidansını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yalnız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alan hastalara göre, önemli derecede artırır.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Aminoglikozidler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aminoglikozidlerin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olarak karıştırılması her iki bileşikte de belirgin bir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inaktivasyon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ile sonuçlanmıştır; eğer bu grup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birlikte kullanılacaksa, en az bir saatlik ara ile ve farklı bölgelerden uygulanmalıdırlar (Bkz. Bölüm 6.2).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penisilinler, pıhtılaşma testleri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trombosit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agregasyonu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üzerine etki edebilirler. Bu etkiler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ile artabilir.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Bakteriyostatik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ilaçlar (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kloramfenikol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sulfonamidler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Bakteriyostatik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ilaçlar penisilinlerin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etkisi ile etkileşebilirler; birlikte tedaviden kaçınılması önerilir.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: Penisilinlerle birlikte kullanım,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azalma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metotreksat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ile sonuçlanmıştır. Hastalar yakından izlenmelidir. Kalsiyum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folinat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dozunun artırılması veya daha uzun dönem boyunca uygulanması gerekebilir.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Östrojen içeren Oral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kullanan kadınlarda, oral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kontraseptiflerin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etkinliğinin azalmasına dair vakalar bildirilmiştir ki bunlar beklenmeyen gebelikle sonuçlanmıştır. Aradaki ilişki zayıf olmasına rağmen,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kullanımı sırasında hastalara alternatif veya ilave bir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kontraseptif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yöntem seçeneği sağlanmalıdır.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: Birlikte kullanıldığında,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sekresyonunu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azaltır; bu etki serum konsantrasyonlarının artması ve uzaması, eliminasyon yarı ömrünün uzaması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riskinde artış ile sonuçlanır.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Laboratuvar Test Etkileşmeleri: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Benedict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Fehling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0ECD" w:rsidRPr="00B63112">
        <w:rPr>
          <w:rFonts w:ascii="Times New Roman" w:hAnsi="Times New Roman" w:cs="Times New Roman"/>
          <w:sz w:val="24"/>
          <w:szCs w:val="24"/>
        </w:rPr>
        <w:t>reaktifieri</w:t>
      </w:r>
      <w:proofErr w:type="spellEnd"/>
      <w:r w:rsidR="00900ECD"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00ECD" w:rsidRPr="00B63112">
        <w:rPr>
          <w:rFonts w:ascii="Times New Roman" w:hAnsi="Times New Roman" w:cs="Times New Roman"/>
          <w:sz w:val="24"/>
          <w:szCs w:val="24"/>
        </w:rPr>
        <w:t>Clinitest</w:t>
      </w:r>
      <w:proofErr w:type="spellEnd"/>
      <w:r w:rsidR="00900ECD" w:rsidRPr="00B63112">
        <w:rPr>
          <w:rFonts w:ascii="Times New Roman" w:hAnsi="Times New Roman" w:cs="Times New Roman"/>
          <w:sz w:val="24"/>
          <w:szCs w:val="24"/>
        </w:rPr>
        <w:t>™ kullanı</w:t>
      </w:r>
      <w:r w:rsidRPr="00B63112">
        <w:rPr>
          <w:rFonts w:ascii="Times New Roman" w:hAnsi="Times New Roman" w:cs="Times New Roman"/>
          <w:sz w:val="24"/>
          <w:szCs w:val="24"/>
        </w:rPr>
        <w:t>larak</w:t>
      </w:r>
      <w:r w:rsidR="00900ECD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yapılan idrar analizlerinde yanlış pozitif glikozüri gözlenebilir.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hamile kadınlara verilmesini takiben, total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östriol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östriol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glukuronid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östron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östradiol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plazma konsantrasyonlarında geçici bir düşüş kaydedilmiştir</w:t>
      </w:r>
      <w:r w:rsidR="00292764" w:rsidRPr="00B63112">
        <w:rPr>
          <w:rFonts w:ascii="Times New Roman" w:hAnsi="Times New Roman" w:cs="Times New Roman"/>
          <w:sz w:val="24"/>
          <w:szCs w:val="24"/>
        </w:rPr>
        <w:t>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lastRenderedPageBreak/>
        <w:t>Özel popülasyonlara ilişkin ek bilgiler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Mevcut değildir.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Mevcut değildir.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Gebelik ve laktasyon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Gebelik kategorisi: B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 / Doğum kontrolü (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, oral yolla alman doğum kontrol ilaçları ile etkileşime geçmektedir. Bu nedenle, tedavi süresince alternatif, etkili ve güvenilir bir doğum kontrol yöntemi uygulanmalıdır (Bkz. Bölüm 4.5).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için, gebeliklerde maruz kalmaya ilişkin klinik veri mevcut değildir.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gelişim / doğum ya da doğum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sonrası gelişim ile ilgili olarak doğrudan ya da dolaylı zararlı etkiler olduğunu göstermemektedir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(bkz. kısım 5.3).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Gebe kadınlar da kesin ihtiyaç duyulduğunda kullanılmalıdır.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065C74" w:rsidRPr="00B63112" w:rsidRDefault="00065C74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laktasyon döneminde güvenli kullanılabileceği tespit edilmemiştir.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düşük miktarlarda anne sütüne geçtiğinden laktasyon dönem</w:t>
      </w:r>
      <w:r w:rsidR="00743791" w:rsidRPr="00B63112">
        <w:rPr>
          <w:rFonts w:ascii="Times New Roman" w:hAnsi="Times New Roman" w:cs="Times New Roman"/>
          <w:sz w:val="24"/>
          <w:szCs w:val="24"/>
        </w:rPr>
        <w:t>inde kullanımına dikkat edilmelid</w:t>
      </w:r>
      <w:r w:rsidRPr="00B63112">
        <w:rPr>
          <w:rFonts w:ascii="Times New Roman" w:hAnsi="Times New Roman" w:cs="Times New Roman"/>
          <w:sz w:val="24"/>
          <w:szCs w:val="24"/>
        </w:rPr>
        <w:t>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Üreme yeteneği/Fertilite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Yapılan hayvan üreme çalışmalarında üreme veya fetüs üzerinde herhangi bir hasar ortaya çıkmamıştır.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4.7.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Araç ve makine kullanımı üzerindeki etkiler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Bilinmemektedir.</w:t>
      </w:r>
    </w:p>
    <w:p w:rsidR="00BD2D9A" w:rsidRPr="00B63112" w:rsidRDefault="00BD2D9A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4.8.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İstenmeyen etkiler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Diğer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antibiyotiklerde olduğu gibi, gözlenen belli başlı yan etki, özellikle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uygulamaya bağlı olan enjek</w:t>
      </w:r>
      <w:r w:rsidR="00743791" w:rsidRPr="00B63112">
        <w:rPr>
          <w:rFonts w:ascii="Times New Roman" w:hAnsi="Times New Roman" w:cs="Times New Roman"/>
          <w:sz w:val="24"/>
          <w:szCs w:val="24"/>
        </w:rPr>
        <w:t xml:space="preserve">siyon yerindeki ağrıdır (%16). </w:t>
      </w:r>
      <w:r w:rsidRPr="00B63112">
        <w:rPr>
          <w:rFonts w:ascii="Times New Roman" w:hAnsi="Times New Roman" w:cs="Times New Roman"/>
          <w:sz w:val="24"/>
          <w:szCs w:val="24"/>
        </w:rPr>
        <w:t xml:space="preserve">Çok az sayıda hastada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kullanımdan sonra flebit (%3) veya enjeksiyon yerinde ağrı (%3) meydana gelebilir.</w:t>
      </w:r>
    </w:p>
    <w:p w:rsidR="00B950F9" w:rsidRPr="00B63112" w:rsidRDefault="00B950F9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0F9" w:rsidRPr="00B63112" w:rsidRDefault="00B950F9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50F9" w:rsidRPr="00B63112" w:rsidRDefault="00B950F9" w:rsidP="006F692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Kan </w:t>
      </w:r>
      <w:r w:rsidRPr="00B63112">
        <w:rPr>
          <w:rFonts w:ascii="Times New Roman" w:hAnsi="Times New Roman" w:cs="Times New Roman"/>
          <w:b/>
          <w:sz w:val="24"/>
          <w:szCs w:val="24"/>
        </w:rPr>
        <w:t>ve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lenf sistemi hastalıkları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Anemi,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anemi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sodyum/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tedavisi sırasında bildirilmiştir. Bu reaksiyonlar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reversibl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olup ilaç kesilince kaybolurlar ve duyarlılık reaksiyonları olarak kabul edilirler.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Bağışıklık sistemi hastalıkları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Anaflaktoid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reaksiyon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şok meydana gelebilir.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Nadir vakalarda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konvulsiyon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, baş dönmesi-sersemlik ve baş ağrısı.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Gastrointestinal hastalıklar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Bulantı, kusma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en sık görülenlerdir.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Enterokolit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psödomembranoz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kolit de görülebilir.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bilier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Bilirubinemi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anormal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fonksiyon ve sarılık gözlenmiştir.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Deri ve deri altı doku hastalıkları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Deri döküntüsü, kaşıntı ve diğer deri reaksiyonları en sık görülenlerdir. Nadir vakalarda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- Johnson sendromu, epidermal nekroliz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görülmüştür.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Böbrek ve idrar hastalıkları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Nadir vakalarda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interstisyel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nefrit.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Araştırmalar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Geçici ALT (SGPT) ve AST (SGOT) yükselmeleri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tek başına kullanımı ile görülen yan etkiler,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</w:t>
      </w:r>
      <w:r w:rsidR="00743791" w:rsidRPr="00B6311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743791" w:rsidRPr="00B63112">
        <w:rPr>
          <w:rFonts w:ascii="Times New Roman" w:hAnsi="Times New Roman" w:cs="Times New Roman"/>
          <w:sz w:val="24"/>
          <w:szCs w:val="24"/>
        </w:rPr>
        <w:t xml:space="preserve"> sodyum / </w:t>
      </w:r>
      <w:proofErr w:type="spellStart"/>
      <w:r w:rsidR="00743791"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="00743791" w:rsidRPr="00B63112">
        <w:rPr>
          <w:rFonts w:ascii="Times New Roman" w:hAnsi="Times New Roman" w:cs="Times New Roman"/>
          <w:sz w:val="24"/>
          <w:szCs w:val="24"/>
        </w:rPr>
        <w:t xml:space="preserve"> sodyum IM/I</w:t>
      </w:r>
      <w:r w:rsidRPr="00B63112">
        <w:rPr>
          <w:rFonts w:ascii="Times New Roman" w:hAnsi="Times New Roman" w:cs="Times New Roman"/>
          <w:sz w:val="24"/>
          <w:szCs w:val="24"/>
        </w:rPr>
        <w:t>V ile gözlenebilir.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DF" w:rsidRPr="00B63112" w:rsidRDefault="007E6BDF" w:rsidP="007E6BD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B63112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B63112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B63112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7E6BDF" w:rsidRPr="00B63112" w:rsidRDefault="007E6BDF" w:rsidP="007E6BDF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B63112">
        <w:rPr>
          <w:rFonts w:ascii="Times New Roman" w:hAnsi="Times New Roman"/>
          <w:sz w:val="24"/>
          <w:szCs w:val="24"/>
          <w:lang w:eastAsia="nl-NL"/>
        </w:rPr>
        <w:t>Ruhsatland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rma sonras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B63112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B63112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n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n raporlanmas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B63112">
        <w:rPr>
          <w:rFonts w:ascii="Times New Roman" w:hAnsi="Times New Roman"/>
          <w:sz w:val="24"/>
          <w:szCs w:val="24"/>
          <w:lang w:eastAsia="nl-NL"/>
        </w:rPr>
        <w:t>maktad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lmas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, ilac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63112">
        <w:rPr>
          <w:rFonts w:ascii="Times New Roman" w:hAnsi="Times New Roman"/>
          <w:sz w:val="24"/>
          <w:szCs w:val="24"/>
          <w:lang w:eastAsia="nl-NL"/>
        </w:rPr>
        <w:t>lar. Sa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63112">
        <w:rPr>
          <w:rFonts w:ascii="Times New Roman" w:hAnsi="Times New Roman"/>
          <w:sz w:val="24"/>
          <w:szCs w:val="24"/>
          <w:lang w:eastAsia="nl-NL"/>
        </w:rPr>
        <w:t>l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k mesle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B63112">
        <w:rPr>
          <w:rFonts w:ascii="Times New Roman" w:hAnsi="Times New Roman"/>
          <w:sz w:val="24"/>
          <w:szCs w:val="24"/>
          <w:lang w:eastAsia="nl-NL"/>
        </w:rPr>
        <w:t>i mensuplar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>n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B63112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B63112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B63112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B63112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B63112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;        </w:t>
      </w:r>
      <w:r w:rsidR="006D3D30" w:rsidRPr="00B63112">
        <w:rPr>
          <w:rFonts w:ascii="Times New Roman" w:hAnsi="Times New Roman"/>
          <w:sz w:val="24"/>
          <w:szCs w:val="24"/>
          <w:lang w:eastAsia="nl-NL"/>
        </w:rPr>
        <w:t xml:space="preserve">     </w:t>
      </w:r>
      <w:r w:rsidRPr="00B63112">
        <w:rPr>
          <w:rFonts w:ascii="Times New Roman" w:hAnsi="Times New Roman"/>
          <w:sz w:val="24"/>
          <w:szCs w:val="24"/>
          <w:lang w:eastAsia="nl-NL"/>
        </w:rPr>
        <w:t xml:space="preserve">  e-posta: </w:t>
      </w:r>
      <w:proofErr w:type="spellStart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B63112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B63112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7E6BDF" w:rsidRPr="00B63112" w:rsidRDefault="007E6BD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DF" w:rsidRPr="00B63112" w:rsidRDefault="007E6BD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DF" w:rsidRPr="00B63112" w:rsidRDefault="007E6BD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112">
        <w:rPr>
          <w:rFonts w:ascii="Times New Roman" w:hAnsi="Times New Roman" w:cs="Times New Roman"/>
          <w:b/>
          <w:sz w:val="24"/>
          <w:szCs w:val="24"/>
        </w:rPr>
        <w:lastRenderedPageBreak/>
        <w:t>4.9.</w:t>
      </w:r>
      <w:r w:rsidR="006F6926" w:rsidRPr="00B63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sz w:val="24"/>
          <w:szCs w:val="24"/>
        </w:rPr>
        <w:t xml:space="preserve">Doz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aşımı </w:t>
      </w:r>
      <w:r w:rsidRPr="00B6311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tedavisi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sodyumun insanlarda akut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üzerine sınırlı bilgi mevcuttur. İlacın aşırı doz kullanımında, temel olarak ilaç ile ilgili yan etkilerin uzantısı olan belirtiler meydana getireceği beklenmektedir. </w:t>
      </w:r>
      <w:r w:rsidR="00743791" w:rsidRPr="00B63112">
        <w:rPr>
          <w:rFonts w:ascii="Times New Roman" w:hAnsi="Times New Roman" w:cs="Times New Roman"/>
          <w:sz w:val="24"/>
          <w:szCs w:val="24"/>
        </w:rPr>
        <w:t>ß-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antibiyotiklerin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BOS'da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yüksek konsantrasyonda bulunmasının, nöbet dahil olmak üzere nörolojik etkilere yol açabileceği gerçeği göz önünde tutulmalıdır.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her ikisi de dolaşımdan hemodiyaliz ile uzaklaştırıldığından, doz aşımı böbrek fonksiyon bozukluğu olan hastalarda meydana gelirse, bu prosedürler ilacın vücuttan eliminasyonunu kolaylaştırabilir.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FARMAKOLOJİK ÖZELLİKLER</w:t>
      </w:r>
    </w:p>
    <w:p w:rsidR="007240D1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40D1" w:rsidRPr="00B63112">
        <w:rPr>
          <w:rFonts w:ascii="Times New Roman" w:hAnsi="Times New Roman" w:cs="Times New Roman"/>
          <w:b/>
          <w:bCs/>
          <w:sz w:val="24"/>
          <w:szCs w:val="24"/>
        </w:rPr>
        <w:t>.l.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b/>
          <w:bCs/>
          <w:sz w:val="24"/>
          <w:szCs w:val="24"/>
        </w:rPr>
        <w:t>Farmakodinamik özellikler</w:t>
      </w:r>
    </w:p>
    <w:p w:rsidR="0074379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Farmakoterapötik grup: Sistemik Kullanılan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ATC kodu: J01CR04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Hücreden arındırılmış bakteriyel sistemlerle yapılan biyokimyasal çalışmalarda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sulbaktamın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, penisiline dirençli organizmalarda oluşan çeşitli önemli beta-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laktamazlar</w:t>
      </w:r>
      <w:r w:rsidR="00743791" w:rsidRPr="00B63112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irreversibl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inhibitörü olduğu gösterilmiştir.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sadece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Neisseriaceae'ye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karşı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aktivite gösterir.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sodyum'un penisilinlerin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sefalosporinlerin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tahrip edilmesini önleyici gücü, dirençli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kullanılarak yapılan çalışmalarla kanıtlanmıştır. Bu çalışmalarda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sodyum, penisilinlerle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beraber verildiğinde belirgin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sinerjik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etki göstermiştir.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aynı zamanda bazı penisilin bağlayıcı proteinlere bağlandığından, bazı hassas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, tek başına beta-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antibiyotiğe göre kombinasyona daha duyarlı kılınmışlardır.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Bu kombinasyondaki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bakterisid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eleman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ampisilin'dir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ki,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benzil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penisilin gibi, hücre duvarı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biyosentezini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ederek, aktif çoğalma döneminde bulunan duyarlı organizmalara karşı etkili olur.</w:t>
      </w:r>
    </w:p>
    <w:p w:rsidR="007240D1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DEVASİD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 aşağıdakiler dahil olmak üzere geniş bir spektrumdaki gram-pozitif ve gram-negatif bakterilere etkilidir: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epidermidis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(penisiline dirençli ve bazı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dahil);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ve diğer streptokok türleri;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parainfluenzae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>(hem beta-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pozitif hem de negatif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Branhamella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catarrhalis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Bacteroides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fragilis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ve bununla ilgili türler dahil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anaeroblar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türleri,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Proteus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türleri (hem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pozitif hem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indol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negatif);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Morganella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morganii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türleri;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türleri;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meningitidis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="007240D1" w:rsidRPr="00B6311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dirençli olduğu bilinen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Pseudomonas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Citrobacter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türlerinin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duyarlı olmadığı dikkate alınmalıdır.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özellikler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sodyum, temel penisilin çekirdeğinin bir türevidir. Kimyasal olarak sodyum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penisilinat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sulfondur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. Suda çok eriyen beyazımsı kristal bir tozdur. Moleküler ağırlığı 255.22'dir.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sodyum, penisilin çekirdeği olan 6-amino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penisilanik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asit'ten türemiştir. Kimyasal olarak, D (-) - </w:t>
      </w:r>
      <w:r w:rsidR="00743791" w:rsidRPr="00B63112">
        <w:rPr>
          <w:rFonts w:ascii="Times New Roman" w:hAnsi="Times New Roman" w:cs="Times New Roman"/>
          <w:bCs/>
          <w:sz w:val="24"/>
          <w:szCs w:val="24"/>
        </w:rPr>
        <w:t>α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aminobenzil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penisilin sodyum tuzudur ve molekül ağırlığı 371.39'dur.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insanlarda hemen bütün </w:t>
      </w:r>
      <w:r w:rsidR="00743791" w:rsidRPr="00B63112">
        <w:rPr>
          <w:rFonts w:ascii="Times New Roman" w:hAnsi="Times New Roman" w:cs="Times New Roman"/>
          <w:sz w:val="24"/>
          <w:szCs w:val="24"/>
        </w:rPr>
        <w:t>vücut</w:t>
      </w:r>
      <w:r w:rsidRPr="00B63112">
        <w:rPr>
          <w:rFonts w:ascii="Times New Roman" w:hAnsi="Times New Roman" w:cs="Times New Roman"/>
          <w:sz w:val="24"/>
          <w:szCs w:val="24"/>
        </w:rPr>
        <w:t xml:space="preserve"> sıvı ve dokularına süratle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diffüze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olur.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Meninkslerin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enflamasyonu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mevcut değilse beyin ve omurilik sıvılarına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penetrasyonu</w:t>
      </w:r>
      <w:proofErr w:type="spellEnd"/>
      <w:r w:rsidR="006F6926"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sz w:val="24"/>
          <w:szCs w:val="24"/>
        </w:rPr>
        <w:t>düşüktür.</w:t>
      </w:r>
    </w:p>
    <w:p w:rsidR="007240D1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İ</w:t>
      </w:r>
      <w:r w:rsidR="007240D1" w:rsidRPr="00B63112">
        <w:rPr>
          <w:rFonts w:ascii="Times New Roman" w:hAnsi="Times New Roman" w:cs="Times New Roman"/>
          <w:sz w:val="24"/>
          <w:szCs w:val="24"/>
        </w:rPr>
        <w:t>ntravenöz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intramusküler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uygulamayı takiben kanda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7240D1" w:rsidRPr="00B63112">
        <w:rPr>
          <w:rFonts w:ascii="Times New Roman" w:hAnsi="Times New Roman" w:cs="Times New Roman"/>
          <w:sz w:val="24"/>
          <w:szCs w:val="24"/>
        </w:rPr>
        <w:t>ampisilinin</w:t>
      </w:r>
      <w:proofErr w:type="spellEnd"/>
      <w:r w:rsidR="007240D1" w:rsidRPr="00B63112">
        <w:rPr>
          <w:rFonts w:ascii="Times New Roman" w:hAnsi="Times New Roman" w:cs="Times New Roman"/>
          <w:sz w:val="24"/>
          <w:szCs w:val="24"/>
        </w:rPr>
        <w:t xml:space="preserve"> yüksek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>konsantrasyonları oluşur ve her iki maddenin de yarı ömürleri takriben bir saattir.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  <w:u w:val="single"/>
        </w:rPr>
        <w:t>Eliminasyon</w:t>
      </w:r>
      <w:r w:rsidRPr="00B63112">
        <w:rPr>
          <w:rFonts w:ascii="Times New Roman" w:hAnsi="Times New Roman" w:cs="Times New Roman"/>
          <w:sz w:val="24"/>
          <w:szCs w:val="24"/>
        </w:rPr>
        <w:t>: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ampisilin'in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büyük bir kısmı değişmemiş olarak idrarla atılır.</w:t>
      </w:r>
    </w:p>
    <w:p w:rsidR="006E7E10" w:rsidRPr="00B63112" w:rsidRDefault="006E7E10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Klinik öncesi güvenlilik verileri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LD</w:t>
      </w:r>
      <w:r w:rsidRPr="00B63112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63112">
        <w:rPr>
          <w:rFonts w:ascii="Times New Roman" w:hAnsi="Times New Roman" w:cs="Times New Roman"/>
          <w:sz w:val="24"/>
          <w:szCs w:val="24"/>
        </w:rPr>
        <w:t>o (oral uygulama ile) hem erkek hem de dişilerde olmak üzere farelerde 8 g/kg ve sıçanlarda 4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kg'dan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daha yüksektir.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Sıçanlar ve köpeklerde yapılan uzun dönemli çalışmalarda, oral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 xml:space="preserve">, esas organlar ve sistemler ile ilgili önemli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histopatolojik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lezyonlara neden olmamıştır. Benzer şekilde, </w:t>
      </w:r>
      <w:proofErr w:type="spellStart"/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Pr="00B63112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olası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etkinliği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inihibisyonunu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değerlendirmek için yapılan testler, bu türden bir etkinlik göstermemiştir.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kombinasyonu herhangi bir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mutajenik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etkinlik göstermemiştir.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FARMASÖTİK ÖZELLİKLER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Yardımcı maddelerin listesi</w:t>
      </w:r>
    </w:p>
    <w:p w:rsidR="00607A60" w:rsidRPr="00B63112" w:rsidRDefault="00607A60" w:rsidP="00607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:</w:t>
      </w:r>
    </w:p>
    <w:p w:rsidR="00607A60" w:rsidRPr="00B63112" w:rsidRDefault="00607A60" w:rsidP="00607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Bulunmamaktadır.</w:t>
      </w:r>
    </w:p>
    <w:p w:rsidR="00607A60" w:rsidRPr="00B63112" w:rsidRDefault="00607A60" w:rsidP="00607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Çözücü:</w:t>
      </w:r>
    </w:p>
    <w:p w:rsidR="00607A60" w:rsidRPr="00B63112" w:rsidRDefault="00607A60" w:rsidP="00607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Enjeksiyonluk su.</w:t>
      </w:r>
    </w:p>
    <w:p w:rsidR="007E6BDF" w:rsidRPr="00B63112" w:rsidRDefault="007E6BD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40D1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6.2</w:t>
      </w:r>
      <w:r w:rsidR="007240D1" w:rsidRPr="00B631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b/>
          <w:bCs/>
          <w:sz w:val="24"/>
          <w:szCs w:val="24"/>
        </w:rPr>
        <w:t>Geçimsizlikler</w:t>
      </w:r>
    </w:p>
    <w:p w:rsidR="007240D1" w:rsidRPr="00B63112" w:rsidRDefault="007240D1" w:rsidP="006D3D3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Aminoglikozidlerin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aminopenisilinlerden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herhangi birinin varlığında </w:t>
      </w:r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63112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B631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inaktivasyonu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nedeniyle,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/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ve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aminoglikozidler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ayrı olarak sulandırılmalı </w:t>
      </w:r>
      <w:r w:rsidRPr="00B63112">
        <w:rPr>
          <w:rFonts w:ascii="Times New Roman" w:hAnsi="Times New Roman" w:cs="Times New Roman"/>
          <w:sz w:val="24"/>
          <w:szCs w:val="24"/>
        </w:rPr>
        <w:lastRenderedPageBreak/>
        <w:t>ve ayrı olarak uygulanmalıdırlar.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Raf ömrü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Cs/>
          <w:sz w:val="24"/>
          <w:szCs w:val="24"/>
        </w:rPr>
        <w:t xml:space="preserve">36 </w:t>
      </w:r>
      <w:r w:rsidRPr="00B63112">
        <w:rPr>
          <w:rFonts w:ascii="Times New Roman" w:hAnsi="Times New Roman" w:cs="Times New Roman"/>
          <w:sz w:val="24"/>
          <w:szCs w:val="24"/>
        </w:rPr>
        <w:t>ay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6.4.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Saklamaya yönelik özel tedbirler</w:t>
      </w:r>
    </w:p>
    <w:p w:rsidR="0032463E" w:rsidRPr="00B63112" w:rsidRDefault="0032463E" w:rsidP="003246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25</w:t>
      </w:r>
      <w:r w:rsidRPr="00B6311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63112">
        <w:rPr>
          <w:rFonts w:ascii="Times New Roman" w:hAnsi="Times New Roman" w:cs="Times New Roman"/>
          <w:sz w:val="24"/>
          <w:szCs w:val="24"/>
        </w:rPr>
        <w:t>C’nin altındaki oda sıcaklığında saklanmalıdır.</w:t>
      </w:r>
    </w:p>
    <w:p w:rsidR="007240D1" w:rsidRPr="00B63112" w:rsidRDefault="0074379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İntramusküler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r w:rsidR="007240D1" w:rsidRPr="00B63112">
        <w:rPr>
          <w:rFonts w:ascii="Times New Roman" w:hAnsi="Times New Roman" w:cs="Times New Roman"/>
          <w:sz w:val="24"/>
          <w:szCs w:val="24"/>
        </w:rPr>
        <w:t>uygulamalarda sulandırıldıktan sonra 1 saat içinde kullanılmalıdır.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enfüzyon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için değişik çözücülere ait kullanma süreleri </w:t>
      </w:r>
      <w:r w:rsidR="00C462AC" w:rsidRPr="00B63112">
        <w:rPr>
          <w:rFonts w:ascii="Times New Roman" w:hAnsi="Times New Roman" w:cs="Times New Roman"/>
          <w:sz w:val="24"/>
          <w:szCs w:val="24"/>
        </w:rPr>
        <w:t>kullanma talimatında belirtilmiştir (bkz. Bölüm 6.6).</w:t>
      </w:r>
    </w:p>
    <w:p w:rsidR="00B950F9" w:rsidRPr="00B63112" w:rsidRDefault="00B950F9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balajın niteliği ve içeriği</w:t>
      </w:r>
    </w:p>
    <w:p w:rsidR="00660D0F" w:rsidRPr="00B63112" w:rsidRDefault="00660D0F" w:rsidP="0066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emniyet kapsülü ve kauçuk tıpa ile kapatılmış 15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renksiz cam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flakonlar</w:t>
      </w:r>
      <w:proofErr w:type="spellEnd"/>
      <w:r w:rsidR="00A47BB5" w:rsidRPr="00B63112">
        <w:rPr>
          <w:rFonts w:ascii="Times New Roman" w:hAnsi="Times New Roman" w:cs="Times New Roman"/>
          <w:sz w:val="24"/>
          <w:szCs w:val="24"/>
        </w:rPr>
        <w:t xml:space="preserve"> ve</w:t>
      </w:r>
    </w:p>
    <w:p w:rsidR="00660D0F" w:rsidRPr="00B63112" w:rsidRDefault="00660D0F" w:rsidP="0066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3,5 ml enjeksiyonluk su içeren 4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ampul</w:t>
      </w:r>
      <w:r w:rsidR="00A47BB5" w:rsidRPr="00B63112">
        <w:rPr>
          <w:rFonts w:ascii="Times New Roman" w:hAnsi="Times New Roman" w:cs="Times New Roman"/>
          <w:sz w:val="24"/>
          <w:szCs w:val="24"/>
        </w:rPr>
        <w:t>.</w:t>
      </w:r>
    </w:p>
    <w:p w:rsidR="00660D0F" w:rsidRPr="00B63112" w:rsidRDefault="00660D0F" w:rsidP="00660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Her bir karton kutu; şeffaf PVC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separatöre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yerleştirilmiş 1 adet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ve 1 adet çözücü ampul içermektedir.</w:t>
      </w:r>
    </w:p>
    <w:p w:rsidR="006E7E10" w:rsidRPr="00B63112" w:rsidRDefault="006E7E10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6.6.</w:t>
      </w:r>
      <w:r w:rsidR="006F6926" w:rsidRPr="00B63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Beşeri tıbbi üründen arta kalan maddelerin imhası ve diğer özel önlemler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solüsyonların birçoğu ile geçimlidir, fakat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dolayısıyla </w:t>
      </w:r>
      <w:r w:rsidR="002B1773" w:rsidRPr="00B63112">
        <w:rPr>
          <w:rFonts w:ascii="Times New Roman" w:hAnsi="Times New Roman" w:cs="Times New Roman"/>
          <w:sz w:val="24"/>
          <w:szCs w:val="24"/>
        </w:rPr>
        <w:t>DEVASİD</w:t>
      </w:r>
      <w:r w:rsidR="00743791" w:rsidRPr="00B63112">
        <w:rPr>
          <w:rFonts w:ascii="Times New Roman" w:hAnsi="Times New Roman" w:cs="Times New Roman"/>
          <w:sz w:val="24"/>
          <w:szCs w:val="24"/>
        </w:rPr>
        <w:t xml:space="preserve"> IM/I</w:t>
      </w:r>
      <w:r w:rsidRPr="00B63112">
        <w:rPr>
          <w:rFonts w:ascii="Times New Roman" w:hAnsi="Times New Roman" w:cs="Times New Roman"/>
          <w:sz w:val="24"/>
          <w:szCs w:val="24"/>
        </w:rPr>
        <w:t xml:space="preserve">V dekstroz veya diğer karbonhidratları ihtiva eden solüsyonlarda daha az dayanıklıdır ve kan ürünleri veya protein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hidrolizatları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ile karıştırılmamalıdır.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İntramusküler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uygulama için konsantre solüsyon hazırlandıktan sonra bir saat içinde kullanılmalıdır.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için değişik çözücülere ait kullanma süreleri aşağıda gösterilmiştir.</w:t>
      </w:r>
    </w:p>
    <w:p w:rsidR="00C8280B" w:rsidRPr="00B63112" w:rsidRDefault="00C8280B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Çözücü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Sulbaktam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>Kullanma Süresi</w:t>
      </w:r>
    </w:p>
    <w:p w:rsidR="007240D1" w:rsidRPr="00B63112" w:rsidRDefault="007240D1" w:rsidP="00C8280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Konsantrasyonu</w:t>
      </w: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Enjeksiyonluk steril su</w:t>
      </w:r>
      <w:r w:rsidRPr="00B63112">
        <w:rPr>
          <w:rFonts w:ascii="Times New Roman" w:hAnsi="Times New Roman" w:cs="Times New Roman"/>
          <w:sz w:val="24"/>
          <w:szCs w:val="24"/>
        </w:rPr>
        <w:tab/>
        <w:t>45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>8 saat 25°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C8280B" w:rsidP="00C8280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45 mg/ml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48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C8280B" w:rsidP="00C8280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30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72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7240D1" w:rsidP="00C82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Izotonik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sodyum klorür </w:t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  <w:t>45 mg/</w:t>
      </w:r>
      <w:proofErr w:type="spellStart"/>
      <w:r w:rsidR="00C8280B"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="00C8280B"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  <w:t>8 saat 25°</w:t>
      </w:r>
      <w:proofErr w:type="spellStart"/>
      <w:r w:rsidR="00C8280B"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C8280B" w:rsidP="00C8280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45 mg/ml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48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C8280B" w:rsidP="00C8280B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30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72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7240D1" w:rsidP="00C82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M/6 Sodyum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Laktat</w:t>
      </w:r>
      <w:proofErr w:type="spellEnd"/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  <w:t>45 mg/</w:t>
      </w:r>
      <w:proofErr w:type="spellStart"/>
      <w:r w:rsidR="00C8280B"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="00C8280B"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</w:r>
      <w:r w:rsidR="00C8280B" w:rsidRPr="00B63112">
        <w:rPr>
          <w:rFonts w:ascii="Times New Roman" w:hAnsi="Times New Roman" w:cs="Times New Roman"/>
          <w:sz w:val="24"/>
          <w:szCs w:val="24"/>
        </w:rPr>
        <w:tab/>
        <w:t>8 saat 25°</w:t>
      </w:r>
      <w:proofErr w:type="spellStart"/>
      <w:r w:rsidR="00C8280B"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7240D1" w:rsidRPr="00B63112" w:rsidRDefault="00C8280B" w:rsidP="00C82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lastRenderedPageBreak/>
        <w:t>Solüsyonu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45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8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C8280B" w:rsidP="00C828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% 5 Dekstroz/Su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15-30 mg/ml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2 saat 25°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2B1773" w:rsidP="002B177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3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4 saat 25°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2B1773" w:rsidP="002B177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30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72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C8280B" w:rsidRPr="00B63112" w:rsidRDefault="002B1773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% 5 Dekstroz/0.45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ab/>
        <w:t>3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4 saat 25°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2B1773" w:rsidP="002B177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15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4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7240D1" w:rsidP="002B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% 10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Invert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şeker/su </w:t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  <w:t>3 mg/</w:t>
      </w:r>
      <w:proofErr w:type="spellStart"/>
      <w:r w:rsidR="002B1773"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="002B1773"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  <w:t>4 saat 25°</w:t>
      </w:r>
      <w:proofErr w:type="spellStart"/>
      <w:r w:rsidR="002B1773"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2B1773" w:rsidP="002B177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30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3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7240D1" w:rsidP="002B17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112">
        <w:rPr>
          <w:rFonts w:ascii="Times New Roman" w:hAnsi="Times New Roman" w:cs="Times New Roman"/>
          <w:sz w:val="24"/>
          <w:szCs w:val="24"/>
        </w:rPr>
        <w:t>Laktatlı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Ringer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Solüsyonu</w:t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  <w:t>45 mg/</w:t>
      </w:r>
      <w:proofErr w:type="spellStart"/>
      <w:r w:rsidR="002B1773"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="002B1773"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</w:r>
      <w:r w:rsidR="002B1773" w:rsidRPr="00B63112">
        <w:rPr>
          <w:rFonts w:ascii="Times New Roman" w:hAnsi="Times New Roman" w:cs="Times New Roman"/>
          <w:sz w:val="24"/>
          <w:szCs w:val="24"/>
        </w:rPr>
        <w:tab/>
        <w:t>8 saat 25°</w:t>
      </w:r>
      <w:proofErr w:type="spellStart"/>
      <w:r w:rsidR="002B1773"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2B1773" w:rsidRPr="00B63112" w:rsidRDefault="002B1773" w:rsidP="002B1773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45 mg/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B63112">
        <w:rPr>
          <w:rFonts w:ascii="Times New Roman" w:hAnsi="Times New Roman" w:cs="Times New Roman"/>
          <w:sz w:val="24"/>
          <w:szCs w:val="24"/>
        </w:rPr>
        <w:t xml:space="preserve"> kadar</w:t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</w:r>
      <w:r w:rsidRPr="00B63112">
        <w:rPr>
          <w:rFonts w:ascii="Times New Roman" w:hAnsi="Times New Roman" w:cs="Times New Roman"/>
          <w:sz w:val="24"/>
          <w:szCs w:val="24"/>
        </w:rPr>
        <w:tab/>
        <w:t>24 saat 4°</w:t>
      </w:r>
      <w:proofErr w:type="spellStart"/>
      <w:r w:rsidRPr="00B63112">
        <w:rPr>
          <w:rFonts w:ascii="Times New Roman" w:hAnsi="Times New Roman" w:cs="Times New Roman"/>
          <w:sz w:val="24"/>
          <w:szCs w:val="24"/>
        </w:rPr>
        <w:t>C'de</w:t>
      </w:r>
      <w:proofErr w:type="spellEnd"/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Kullanılmamış olan ürünler ya da atık materyaller "Tıbbi atıkların kontrolü yönetmeliği" ve "Ambalaj ve Ambalaj Atıklarının Kontrolü Yönetmelikleri"ne uygun olarak imha edilmelidir.</w:t>
      </w:r>
    </w:p>
    <w:p w:rsidR="00660D0F" w:rsidRPr="00B63112" w:rsidRDefault="00660D0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D1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b/>
          <w:sz w:val="24"/>
          <w:szCs w:val="24"/>
        </w:rPr>
        <w:t>7.</w:t>
      </w:r>
      <w:r w:rsidR="006F6926" w:rsidRPr="00B63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>RUHSAT SAHİBİ</w:t>
      </w:r>
    </w:p>
    <w:p w:rsidR="00660D0F" w:rsidRPr="00B63112" w:rsidRDefault="006D3D30" w:rsidP="00660D0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112">
        <w:rPr>
          <w:rFonts w:ascii="Times New Roman" w:eastAsia="Times New Roman" w:hAnsi="Times New Roman" w:cs="Times New Roman"/>
          <w:sz w:val="24"/>
          <w:szCs w:val="24"/>
          <w:lang w:eastAsia="tr-TR"/>
        </w:rPr>
        <w:t>DEVA HOLDİNG A.Ş.</w:t>
      </w:r>
    </w:p>
    <w:p w:rsidR="00660D0F" w:rsidRPr="00B63112" w:rsidRDefault="00660D0F" w:rsidP="00660D0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112">
        <w:rPr>
          <w:rFonts w:ascii="Times New Roman" w:eastAsia="Times New Roman" w:hAnsi="Times New Roman" w:cs="Times New Roman"/>
          <w:sz w:val="24"/>
          <w:szCs w:val="24"/>
          <w:lang w:eastAsia="tr-TR"/>
        </w:rPr>
        <w:t>Halkalı Merkez Mah. Basın Ekspres Cad. No: 1</w:t>
      </w:r>
    </w:p>
    <w:p w:rsidR="00660D0F" w:rsidRPr="00B63112" w:rsidRDefault="00A47BB5" w:rsidP="00660D0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112">
        <w:rPr>
          <w:rFonts w:ascii="Times New Roman" w:eastAsia="Times New Roman" w:hAnsi="Times New Roman" w:cs="Times New Roman"/>
          <w:sz w:val="24"/>
          <w:szCs w:val="24"/>
          <w:lang w:eastAsia="tr-TR"/>
        </w:rPr>
        <w:t>34303 Küçükçekmece/İSTANBUL</w:t>
      </w:r>
    </w:p>
    <w:p w:rsidR="00660D0F" w:rsidRPr="00B63112" w:rsidRDefault="00660D0F" w:rsidP="00660D0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1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Tel:     0212 692 92 </w:t>
      </w:r>
      <w:proofErr w:type="spellStart"/>
      <w:r w:rsidRPr="00B63112">
        <w:rPr>
          <w:rFonts w:ascii="Times New Roman" w:eastAsia="Times New Roman" w:hAnsi="Times New Roman" w:cs="Times New Roman"/>
          <w:sz w:val="24"/>
          <w:szCs w:val="24"/>
          <w:lang w:eastAsia="tr-TR"/>
        </w:rPr>
        <w:t>92</w:t>
      </w:r>
      <w:proofErr w:type="spellEnd"/>
    </w:p>
    <w:p w:rsidR="00660D0F" w:rsidRPr="00B63112" w:rsidRDefault="00660D0F" w:rsidP="00660D0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3112">
        <w:rPr>
          <w:rFonts w:ascii="Times New Roman" w:eastAsia="Times New Roman" w:hAnsi="Times New Roman" w:cs="Times New Roman"/>
          <w:sz w:val="24"/>
          <w:szCs w:val="24"/>
          <w:lang w:eastAsia="tr-TR"/>
        </w:rPr>
        <w:t>Faks:  0212 697 00 24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926" w:rsidRPr="00B63112" w:rsidRDefault="007240D1" w:rsidP="006F692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112">
        <w:rPr>
          <w:rFonts w:ascii="Times New Roman" w:hAnsi="Times New Roman" w:cs="Times New Roman"/>
          <w:b/>
          <w:sz w:val="24"/>
          <w:szCs w:val="24"/>
        </w:rPr>
        <w:t xml:space="preserve">RUHSAT NUMARASI </w:t>
      </w:r>
    </w:p>
    <w:p w:rsidR="007240D1" w:rsidRPr="00B63112" w:rsidRDefault="00942FF8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202/60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240D1" w:rsidRPr="00B63112" w:rsidRDefault="007240D1" w:rsidP="006F692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112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125C72" w:rsidRPr="00B63112" w:rsidRDefault="007240D1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125C72" w:rsidRPr="00B63112">
        <w:rPr>
          <w:rFonts w:ascii="Times New Roman" w:hAnsi="Times New Roman" w:cs="Times New Roman"/>
          <w:sz w:val="24"/>
          <w:szCs w:val="24"/>
        </w:rPr>
        <w:t>06.06.2003</w:t>
      </w:r>
      <w:r w:rsidRPr="00B63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D1" w:rsidRPr="00B63112" w:rsidRDefault="0098560F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Ruhsat yenileme tarihi:</w:t>
      </w:r>
    </w:p>
    <w:p w:rsidR="006F6926" w:rsidRPr="00B63112" w:rsidRDefault="006F6926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0054" w:rsidRPr="00B63112" w:rsidRDefault="00F90054" w:rsidP="00F90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311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63112">
        <w:rPr>
          <w:rFonts w:ascii="Times New Roman" w:hAnsi="Times New Roman" w:cs="Times New Roman"/>
          <w:b/>
          <w:bCs/>
          <w:sz w:val="24"/>
          <w:szCs w:val="24"/>
        </w:rPr>
        <w:tab/>
        <w:t>KÜB'ÜN YENİLENME TARİHİ</w:t>
      </w:r>
    </w:p>
    <w:p w:rsidR="00825C4C" w:rsidRPr="00B63112" w:rsidRDefault="00B63112" w:rsidP="006F6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112">
        <w:rPr>
          <w:rFonts w:ascii="Times New Roman" w:hAnsi="Times New Roman" w:cs="Times New Roman"/>
          <w:sz w:val="24"/>
          <w:szCs w:val="24"/>
        </w:rPr>
        <w:t>04.01.2013</w:t>
      </w:r>
    </w:p>
    <w:sectPr w:rsidR="00825C4C" w:rsidRPr="00B63112" w:rsidSect="00D27D49">
      <w:footerReference w:type="default" r:id="rId8"/>
      <w:pgSz w:w="11909" w:h="16834"/>
      <w:pgMar w:top="1440" w:right="1136" w:bottom="360" w:left="141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89F" w:rsidRDefault="00D0589F" w:rsidP="00A301D8">
      <w:pPr>
        <w:spacing w:after="0" w:line="240" w:lineRule="auto"/>
      </w:pPr>
      <w:r>
        <w:separator/>
      </w:r>
    </w:p>
  </w:endnote>
  <w:endnote w:type="continuationSeparator" w:id="0">
    <w:p w:rsidR="00D0589F" w:rsidRDefault="00D0589F" w:rsidP="00A3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401719"/>
      <w:docPartObj>
        <w:docPartGallery w:val="Page Numbers (Bottom of Page)"/>
        <w:docPartUnique/>
      </w:docPartObj>
    </w:sdtPr>
    <w:sdtContent>
      <w:p w:rsidR="007F0D64" w:rsidRDefault="00EC3CDB">
        <w:pPr>
          <w:pStyle w:val="Altbilgi"/>
          <w:jc w:val="right"/>
        </w:pPr>
        <w:fldSimple w:instr=" PAGE   \* MERGEFORMAT ">
          <w:r w:rsidR="00B63112">
            <w:rPr>
              <w:noProof/>
            </w:rPr>
            <w:t>11</w:t>
          </w:r>
        </w:fldSimple>
      </w:p>
    </w:sdtContent>
  </w:sdt>
  <w:p w:rsidR="007F0D64" w:rsidRDefault="007F0D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89F" w:rsidRDefault="00D0589F" w:rsidP="00A301D8">
      <w:pPr>
        <w:spacing w:after="0" w:line="240" w:lineRule="auto"/>
      </w:pPr>
      <w:r>
        <w:separator/>
      </w:r>
    </w:p>
  </w:footnote>
  <w:footnote w:type="continuationSeparator" w:id="0">
    <w:p w:rsidR="00D0589F" w:rsidRDefault="00D0589F" w:rsidP="00A3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B00C46"/>
    <w:lvl w:ilvl="0">
      <w:numFmt w:val="bullet"/>
      <w:lvlText w:val="*"/>
      <w:lvlJc w:val="left"/>
    </w:lvl>
  </w:abstractNum>
  <w:abstractNum w:abstractNumId="1">
    <w:nsid w:val="004C0430"/>
    <w:multiLevelType w:val="singleLevel"/>
    <w:tmpl w:val="A56E11D8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04363B54"/>
    <w:multiLevelType w:val="singleLevel"/>
    <w:tmpl w:val="B8AAE40C"/>
    <w:lvl w:ilvl="0">
      <w:start w:val="3"/>
      <w:numFmt w:val="decimal"/>
      <w:lvlText w:val="%1."/>
      <w:legacy w:legacy="1" w:legacySpace="0" w:legacyIndent="230"/>
      <w:lvlJc w:val="left"/>
      <w:rPr>
        <w:rFonts w:ascii="Verdana" w:hAnsi="Verdana" w:hint="default"/>
      </w:rPr>
    </w:lvl>
  </w:abstractNum>
  <w:abstractNum w:abstractNumId="3">
    <w:nsid w:val="1B525786"/>
    <w:multiLevelType w:val="singleLevel"/>
    <w:tmpl w:val="D36C9016"/>
    <w:lvl w:ilvl="0">
      <w:start w:val="8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1E5551AF"/>
    <w:multiLevelType w:val="singleLevel"/>
    <w:tmpl w:val="0DFA9074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5">
    <w:nsid w:val="36602C9E"/>
    <w:multiLevelType w:val="singleLevel"/>
    <w:tmpl w:val="68FAC1AA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6001556E"/>
    <w:multiLevelType w:val="singleLevel"/>
    <w:tmpl w:val="E5FEDDB6"/>
    <w:lvl w:ilvl="0">
      <w:start w:val="8"/>
      <w:numFmt w:val="decimal"/>
      <w:lvlText w:val="%1."/>
      <w:legacy w:legacy="1" w:legacySpace="0" w:legacyIndent="268"/>
      <w:lvlJc w:val="left"/>
      <w:rPr>
        <w:rFonts w:ascii="Verdana" w:hAnsi="Verdana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Verdana" w:hAnsi="Verdana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Verdana" w:hAnsi="Verdana" w:hint="default"/>
        </w:rPr>
      </w:lvl>
    </w:lvlOverride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D8"/>
    <w:rsid w:val="00001169"/>
    <w:rsid w:val="00013164"/>
    <w:rsid w:val="00014DC1"/>
    <w:rsid w:val="000358B0"/>
    <w:rsid w:val="000527FE"/>
    <w:rsid w:val="00065C74"/>
    <w:rsid w:val="000909FB"/>
    <w:rsid w:val="000B59A4"/>
    <w:rsid w:val="000F5D6C"/>
    <w:rsid w:val="00124D56"/>
    <w:rsid w:val="00125C72"/>
    <w:rsid w:val="001362A6"/>
    <w:rsid w:val="00172DFD"/>
    <w:rsid w:val="00191AF5"/>
    <w:rsid w:val="00222E35"/>
    <w:rsid w:val="00227540"/>
    <w:rsid w:val="00227D7E"/>
    <w:rsid w:val="00246255"/>
    <w:rsid w:val="002670C7"/>
    <w:rsid w:val="00292764"/>
    <w:rsid w:val="002B1773"/>
    <w:rsid w:val="002B6A37"/>
    <w:rsid w:val="002D283A"/>
    <w:rsid w:val="002E6AFC"/>
    <w:rsid w:val="002E7401"/>
    <w:rsid w:val="00304310"/>
    <w:rsid w:val="00307D9E"/>
    <w:rsid w:val="00320634"/>
    <w:rsid w:val="0032463E"/>
    <w:rsid w:val="00324C0A"/>
    <w:rsid w:val="003B68D2"/>
    <w:rsid w:val="00403A08"/>
    <w:rsid w:val="00405AA8"/>
    <w:rsid w:val="00410EC3"/>
    <w:rsid w:val="00412757"/>
    <w:rsid w:val="00430CCD"/>
    <w:rsid w:val="00430F72"/>
    <w:rsid w:val="004D43E9"/>
    <w:rsid w:val="004E1CD7"/>
    <w:rsid w:val="004E6D52"/>
    <w:rsid w:val="004F54E3"/>
    <w:rsid w:val="005063A5"/>
    <w:rsid w:val="005076F3"/>
    <w:rsid w:val="00526191"/>
    <w:rsid w:val="005279C7"/>
    <w:rsid w:val="00533CB5"/>
    <w:rsid w:val="005344E8"/>
    <w:rsid w:val="00535053"/>
    <w:rsid w:val="00550B26"/>
    <w:rsid w:val="005E1548"/>
    <w:rsid w:val="005E672D"/>
    <w:rsid w:val="00607A60"/>
    <w:rsid w:val="00622C65"/>
    <w:rsid w:val="00650331"/>
    <w:rsid w:val="00660D0F"/>
    <w:rsid w:val="00674FDD"/>
    <w:rsid w:val="00680CFF"/>
    <w:rsid w:val="00682288"/>
    <w:rsid w:val="00697487"/>
    <w:rsid w:val="006B1D2D"/>
    <w:rsid w:val="006B50F8"/>
    <w:rsid w:val="006B515C"/>
    <w:rsid w:val="006D3D30"/>
    <w:rsid w:val="006D7E65"/>
    <w:rsid w:val="006E7E10"/>
    <w:rsid w:val="006F6926"/>
    <w:rsid w:val="0070763D"/>
    <w:rsid w:val="007240D1"/>
    <w:rsid w:val="0074317E"/>
    <w:rsid w:val="00743791"/>
    <w:rsid w:val="007E6BDF"/>
    <w:rsid w:val="007F0D64"/>
    <w:rsid w:val="008030AA"/>
    <w:rsid w:val="00825C4C"/>
    <w:rsid w:val="00893ED7"/>
    <w:rsid w:val="008B307D"/>
    <w:rsid w:val="008C533F"/>
    <w:rsid w:val="008D3148"/>
    <w:rsid w:val="00900ECD"/>
    <w:rsid w:val="00930EA7"/>
    <w:rsid w:val="009348CA"/>
    <w:rsid w:val="00941CEE"/>
    <w:rsid w:val="00942FF8"/>
    <w:rsid w:val="00957B40"/>
    <w:rsid w:val="00971288"/>
    <w:rsid w:val="00982266"/>
    <w:rsid w:val="00982517"/>
    <w:rsid w:val="0098560F"/>
    <w:rsid w:val="009A0D54"/>
    <w:rsid w:val="009C266A"/>
    <w:rsid w:val="009E28E7"/>
    <w:rsid w:val="00A301D8"/>
    <w:rsid w:val="00A47BB5"/>
    <w:rsid w:val="00AA1C7C"/>
    <w:rsid w:val="00AA75E0"/>
    <w:rsid w:val="00AB2C72"/>
    <w:rsid w:val="00B15104"/>
    <w:rsid w:val="00B418DB"/>
    <w:rsid w:val="00B452D1"/>
    <w:rsid w:val="00B63112"/>
    <w:rsid w:val="00B67269"/>
    <w:rsid w:val="00B87297"/>
    <w:rsid w:val="00B950F9"/>
    <w:rsid w:val="00B95F17"/>
    <w:rsid w:val="00BD2D9A"/>
    <w:rsid w:val="00C04828"/>
    <w:rsid w:val="00C21529"/>
    <w:rsid w:val="00C462AC"/>
    <w:rsid w:val="00C500E7"/>
    <w:rsid w:val="00C53BCD"/>
    <w:rsid w:val="00C66075"/>
    <w:rsid w:val="00C736D0"/>
    <w:rsid w:val="00C825CC"/>
    <w:rsid w:val="00C8280B"/>
    <w:rsid w:val="00C92B2D"/>
    <w:rsid w:val="00CA2476"/>
    <w:rsid w:val="00CB103C"/>
    <w:rsid w:val="00CC6DA2"/>
    <w:rsid w:val="00CF3A57"/>
    <w:rsid w:val="00D0433E"/>
    <w:rsid w:val="00D0589F"/>
    <w:rsid w:val="00D2250C"/>
    <w:rsid w:val="00D27D49"/>
    <w:rsid w:val="00D30447"/>
    <w:rsid w:val="00D47CE8"/>
    <w:rsid w:val="00D65DDD"/>
    <w:rsid w:val="00DB79DA"/>
    <w:rsid w:val="00E0624C"/>
    <w:rsid w:val="00E30493"/>
    <w:rsid w:val="00E31C19"/>
    <w:rsid w:val="00E40CFE"/>
    <w:rsid w:val="00EC3CDB"/>
    <w:rsid w:val="00ED7465"/>
    <w:rsid w:val="00EE7B9A"/>
    <w:rsid w:val="00F14959"/>
    <w:rsid w:val="00F24CF3"/>
    <w:rsid w:val="00F46216"/>
    <w:rsid w:val="00F46E2C"/>
    <w:rsid w:val="00F54194"/>
    <w:rsid w:val="00F65E98"/>
    <w:rsid w:val="00F76E24"/>
    <w:rsid w:val="00F9001D"/>
    <w:rsid w:val="00F90054"/>
    <w:rsid w:val="00F914AD"/>
    <w:rsid w:val="00FB29C7"/>
    <w:rsid w:val="00FD1937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3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301D8"/>
  </w:style>
  <w:style w:type="paragraph" w:styleId="Altbilgi">
    <w:name w:val="footer"/>
    <w:basedOn w:val="Normal"/>
    <w:link w:val="AltbilgiChar"/>
    <w:uiPriority w:val="99"/>
    <w:unhideWhenUsed/>
    <w:rsid w:val="00A30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1D8"/>
  </w:style>
  <w:style w:type="paragraph" w:styleId="ListeParagraf">
    <w:name w:val="List Paragraph"/>
    <w:basedOn w:val="Normal"/>
    <w:uiPriority w:val="34"/>
    <w:qFormat/>
    <w:rsid w:val="00E3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63B3-9555-40C5-9C39-A599A6B7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omumcuoglu</cp:lastModifiedBy>
  <cp:revision>85</cp:revision>
  <cp:lastPrinted>2012-12-13T07:10:00Z</cp:lastPrinted>
  <dcterms:created xsi:type="dcterms:W3CDTF">2011-07-26T07:41:00Z</dcterms:created>
  <dcterms:modified xsi:type="dcterms:W3CDTF">2014-09-01T07:57:00Z</dcterms:modified>
</cp:coreProperties>
</file>