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B9" w:rsidRPr="00F772CF" w:rsidRDefault="000B05B9" w:rsidP="00DF3C22">
      <w:pPr>
        <w:pStyle w:val="stbilgi"/>
        <w:tabs>
          <w:tab w:val="left" w:pos="390"/>
        </w:tabs>
        <w:overflowPunct/>
        <w:autoSpaceDE/>
        <w:autoSpaceDN/>
        <w:adjustRightInd/>
        <w:spacing w:before="120" w:after="120" w:line="360" w:lineRule="auto"/>
        <w:jc w:val="center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KISA ÜRÜN BİLGİLERİ</w:t>
      </w:r>
    </w:p>
    <w:p w:rsidR="009F13AE" w:rsidRPr="00F772CF" w:rsidRDefault="009F13AE" w:rsidP="00DF3C22">
      <w:pPr>
        <w:pStyle w:val="stbilgi"/>
        <w:numPr>
          <w:ilvl w:val="0"/>
          <w:numId w:val="1"/>
        </w:numPr>
        <w:tabs>
          <w:tab w:val="clear" w:pos="720"/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BEŞERİ TIBBİ ÜRÜNÜN ADI</w:t>
      </w:r>
    </w:p>
    <w:p w:rsidR="00541C3D" w:rsidRPr="00F772CF" w:rsidRDefault="001B3726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</w:rPr>
      </w:pPr>
      <w:r w:rsidRPr="00F772CF">
        <w:rPr>
          <w:rFonts w:ascii="Times New Roman" w:hAnsi="Times New Roman"/>
          <w:spacing w:val="0"/>
          <w:position w:val="0"/>
          <w:sz w:val="24"/>
        </w:rPr>
        <w:t>M</w:t>
      </w:r>
      <w:r w:rsidR="00D46CFA" w:rsidRPr="00F772CF">
        <w:rPr>
          <w:rFonts w:ascii="Times New Roman" w:hAnsi="Times New Roman"/>
          <w:spacing w:val="0"/>
          <w:position w:val="0"/>
          <w:sz w:val="24"/>
        </w:rPr>
        <w:t>AGCAR</w:t>
      </w:r>
      <w:r w:rsidR="00D46CFA" w:rsidRPr="00F772CF">
        <w:rPr>
          <w:rFonts w:ascii="Times New Roman" w:hAnsi="Times New Roman"/>
          <w:spacing w:val="0"/>
          <w:position w:val="0"/>
          <w:sz w:val="32"/>
          <w:szCs w:val="32"/>
        </w:rPr>
        <w:t xml:space="preserve"> </w:t>
      </w:r>
      <w:proofErr w:type="spellStart"/>
      <w:r w:rsidR="002F39FD" w:rsidRPr="00F772CF">
        <w:rPr>
          <w:rFonts w:ascii="Times New Roman" w:hAnsi="Times New Roman"/>
          <w:spacing w:val="0"/>
          <w:position w:val="0"/>
          <w:sz w:val="24"/>
        </w:rPr>
        <w:t>çiğneme</w:t>
      </w:r>
      <w:proofErr w:type="spellEnd"/>
      <w:r w:rsidR="002F39FD" w:rsidRPr="00F772CF">
        <w:rPr>
          <w:rFonts w:ascii="Times New Roman" w:hAnsi="Times New Roman"/>
          <w:spacing w:val="0"/>
          <w:position w:val="0"/>
          <w:sz w:val="24"/>
        </w:rPr>
        <w:t xml:space="preserve"> </w:t>
      </w:r>
      <w:proofErr w:type="spellStart"/>
      <w:r w:rsidR="002F39FD" w:rsidRPr="00F772CF">
        <w:rPr>
          <w:rFonts w:ascii="Times New Roman" w:hAnsi="Times New Roman"/>
          <w:spacing w:val="0"/>
          <w:position w:val="0"/>
          <w:sz w:val="24"/>
        </w:rPr>
        <w:t>tableti</w:t>
      </w:r>
      <w:proofErr w:type="spellEnd"/>
    </w:p>
    <w:p w:rsidR="000A64C5" w:rsidRPr="00F772CF" w:rsidRDefault="000A64C5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</w:rPr>
      </w:pPr>
    </w:p>
    <w:p w:rsidR="009F13AE" w:rsidRPr="00F772CF" w:rsidRDefault="009F13AE" w:rsidP="00DF3C22">
      <w:pPr>
        <w:pStyle w:val="stbilgi"/>
        <w:numPr>
          <w:ilvl w:val="0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KALİTATİF VE KANTİTATİF BİLEŞİM</w:t>
      </w:r>
    </w:p>
    <w:p w:rsidR="002F39FD" w:rsidRPr="00F772CF" w:rsidRDefault="002F39FD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bir çiğneme tableti,</w:t>
      </w:r>
    </w:p>
    <w:p w:rsidR="00D46CFA" w:rsidRPr="00F772CF" w:rsidRDefault="00BF6D55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Etkin madde: </w:t>
      </w:r>
    </w:p>
    <w:p w:rsidR="004C1A6A" w:rsidRPr="00F772CF" w:rsidRDefault="00D46CFA">
      <w:pPr>
        <w:tabs>
          <w:tab w:val="right" w:pos="3828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Kalsiyum karbonat</w:t>
      </w:r>
      <w:r w:rsidR="00213B2E" w:rsidRPr="00F772CF">
        <w:rPr>
          <w:rFonts w:ascii="Times New Roman" w:hAnsi="Times New Roman"/>
          <w:spacing w:val="0"/>
          <w:position w:val="0"/>
          <w:sz w:val="24"/>
          <w:szCs w:val="24"/>
          <w:u w:val="dotted"/>
          <w:lang w:val="tr-TR"/>
        </w:rPr>
        <w:t xml:space="preserve"> </w:t>
      </w:r>
      <w:r w:rsidR="00213B2E" w:rsidRPr="00F772CF">
        <w:rPr>
          <w:rFonts w:ascii="Times New Roman" w:hAnsi="Times New Roman"/>
          <w:spacing w:val="0"/>
          <w:position w:val="0"/>
          <w:sz w:val="24"/>
          <w:szCs w:val="24"/>
          <w:u w:val="dotted"/>
          <w:lang w:val="tr-TR"/>
        </w:rPr>
        <w:tab/>
      </w:r>
      <w:r w:rsidR="00213B2E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680 mg</w:t>
      </w:r>
    </w:p>
    <w:p w:rsidR="004C1A6A" w:rsidRPr="00F772CF" w:rsidRDefault="00D46CFA">
      <w:pPr>
        <w:tabs>
          <w:tab w:val="right" w:pos="3828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Magnezyum karbonat </w:t>
      </w:r>
      <w:r w:rsidR="00213B2E" w:rsidRPr="00F772CF">
        <w:rPr>
          <w:rFonts w:ascii="Times New Roman" w:hAnsi="Times New Roman"/>
          <w:spacing w:val="0"/>
          <w:position w:val="0"/>
          <w:sz w:val="24"/>
          <w:szCs w:val="24"/>
          <w:u w:val="dotted"/>
          <w:lang w:val="tr-TR"/>
        </w:rPr>
        <w:tab/>
      </w:r>
      <w:r w:rsidR="00213B2E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80 mg</w:t>
      </w:r>
    </w:p>
    <w:p w:rsidR="00D46CFA" w:rsidRPr="00F772CF" w:rsidRDefault="00BF6D55" w:rsidP="00AE42C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Yardımcı madde</w:t>
      </w:r>
      <w:r w:rsidR="009C7F77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(</w:t>
      </w:r>
      <w:proofErr w:type="spellStart"/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ler</w:t>
      </w:r>
      <w:proofErr w:type="spellEnd"/>
      <w:r w:rsidR="009C7F77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)</w:t>
      </w: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:</w:t>
      </w:r>
    </w:p>
    <w:p w:rsidR="004C1A6A" w:rsidRPr="00F772CF" w:rsidRDefault="00AE42CE">
      <w:pPr>
        <w:tabs>
          <w:tab w:val="right" w:pos="3828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Şeker</w:t>
      </w:r>
      <w:r w:rsidRPr="00F772CF">
        <w:rPr>
          <w:rFonts w:ascii="Times New Roman" w:hAnsi="Times New Roman"/>
          <w:spacing w:val="0"/>
          <w:position w:val="0"/>
          <w:sz w:val="24"/>
          <w:szCs w:val="24"/>
          <w:u w:val="dotted"/>
          <w:lang w:val="tr-TR"/>
        </w:rPr>
        <w:t xml:space="preserve"> </w:t>
      </w:r>
      <w:r w:rsidRPr="00F772CF">
        <w:rPr>
          <w:rFonts w:ascii="Times New Roman" w:hAnsi="Times New Roman"/>
          <w:spacing w:val="0"/>
          <w:position w:val="0"/>
          <w:sz w:val="24"/>
          <w:szCs w:val="24"/>
          <w:u w:val="dotted"/>
          <w:lang w:val="tr-TR"/>
        </w:rPr>
        <w:tab/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475 mg</w:t>
      </w:r>
    </w:p>
    <w:p w:rsidR="00541C3D" w:rsidRPr="00F772CF" w:rsidRDefault="00F67F1A" w:rsidP="00DF3C22">
      <w:pPr>
        <w:pStyle w:val="stbilgi"/>
        <w:tabs>
          <w:tab w:val="clear" w:pos="4536"/>
          <w:tab w:val="left" w:pos="0"/>
          <w:tab w:val="left" w:pos="390"/>
          <w:tab w:val="center" w:pos="6480"/>
          <w:tab w:val="left" w:pos="684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TimesNew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TimesNewRoman" w:hAnsi="Times New Roman"/>
          <w:spacing w:val="0"/>
          <w:kern w:val="0"/>
          <w:position w:val="0"/>
          <w:sz w:val="24"/>
          <w:szCs w:val="24"/>
          <w:lang w:val="tr-TR"/>
        </w:rPr>
        <w:t xml:space="preserve">Yardımcı maddeler için </w:t>
      </w:r>
      <w:proofErr w:type="gramStart"/>
      <w:r w:rsidRPr="00F772CF">
        <w:rPr>
          <w:rFonts w:ascii="Times New Roman" w:eastAsia="TimesNewRoman" w:hAnsi="Times New Roman"/>
          <w:spacing w:val="0"/>
          <w:kern w:val="0"/>
          <w:position w:val="0"/>
          <w:sz w:val="24"/>
          <w:szCs w:val="24"/>
          <w:lang w:val="tr-TR"/>
        </w:rPr>
        <w:t>6.1’e</w:t>
      </w:r>
      <w:proofErr w:type="gramEnd"/>
      <w:r w:rsidRPr="00F772CF">
        <w:rPr>
          <w:rFonts w:ascii="Times New Roman" w:eastAsia="TimesNewRoman" w:hAnsi="Times New Roman"/>
          <w:spacing w:val="0"/>
          <w:kern w:val="0"/>
          <w:position w:val="0"/>
          <w:sz w:val="24"/>
          <w:szCs w:val="24"/>
          <w:lang w:val="tr-TR"/>
        </w:rPr>
        <w:t xml:space="preserve"> bakınız.</w:t>
      </w:r>
    </w:p>
    <w:p w:rsidR="00F67F1A" w:rsidRPr="00F772CF" w:rsidRDefault="00F67F1A" w:rsidP="00DF3C22">
      <w:pPr>
        <w:pStyle w:val="stbilgi"/>
        <w:tabs>
          <w:tab w:val="clear" w:pos="4536"/>
          <w:tab w:val="left" w:pos="0"/>
          <w:tab w:val="left" w:pos="390"/>
          <w:tab w:val="center" w:pos="6480"/>
          <w:tab w:val="left" w:pos="684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F13AE" w:rsidRPr="00F772CF" w:rsidRDefault="009F13AE" w:rsidP="00DF3C22">
      <w:pPr>
        <w:numPr>
          <w:ilvl w:val="0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FARMASÖTİK FORM</w:t>
      </w:r>
    </w:p>
    <w:p w:rsidR="00D46CFA" w:rsidRPr="00F772CF" w:rsidRDefault="009C7F77" w:rsidP="00DF3C22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Çiğneme tableti.</w:t>
      </w:r>
    </w:p>
    <w:p w:rsidR="00D46CFA" w:rsidRPr="00F772CF" w:rsidRDefault="00D46CFA" w:rsidP="00DF3C22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Beyaz, yuvarlak, bir yüzü ortadan çentikli, homojen görünüşlü tablet.</w:t>
      </w:r>
    </w:p>
    <w:p w:rsidR="00541C3D" w:rsidRPr="00F772CF" w:rsidRDefault="00541C3D" w:rsidP="00DF3C22">
      <w:pPr>
        <w:tabs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F13AE" w:rsidRPr="00F772CF" w:rsidRDefault="009F13AE" w:rsidP="00DF3C22">
      <w:pPr>
        <w:numPr>
          <w:ilvl w:val="0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KLİNİK ÖZELLİKLER</w:t>
      </w:r>
    </w:p>
    <w:p w:rsidR="009F13AE" w:rsidRPr="00F772CF" w:rsidRDefault="0088026F" w:rsidP="00DF3C22">
      <w:pPr>
        <w:keepNext/>
        <w:numPr>
          <w:ilvl w:val="1"/>
          <w:numId w:val="1"/>
        </w:numPr>
        <w:tabs>
          <w:tab w:val="num" w:pos="0"/>
          <w:tab w:val="left" w:pos="390"/>
        </w:tabs>
        <w:overflowPunct/>
        <w:spacing w:line="360" w:lineRule="auto"/>
        <w:jc w:val="both"/>
        <w:textAlignment w:val="auto"/>
        <w:outlineLvl w:val="1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4.1 </w:t>
      </w:r>
      <w:proofErr w:type="spellStart"/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endikasyonlar</w:t>
      </w:r>
      <w:proofErr w:type="spellEnd"/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</w:p>
    <w:p w:rsidR="00C34172" w:rsidRPr="00F772CF" w:rsidRDefault="00C34172" w:rsidP="00C3417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Mide asidinin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bağlanmasını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gerektiren </w:t>
      </w:r>
      <w:r w:rsidR="00164645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aşağıdaki rahatsızlıkları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semptomatik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tedavisi için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endikedir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.</w:t>
      </w:r>
    </w:p>
    <w:p w:rsidR="00C34172" w:rsidRPr="00F772CF" w:rsidRDefault="00C34172" w:rsidP="00C3417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-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Retrostemal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yanma ve </w:t>
      </w:r>
      <w:r w:rsidR="00CB18F6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ağrı</w:t>
      </w:r>
    </w:p>
    <w:p w:rsidR="00C34172" w:rsidRPr="00F772CF" w:rsidRDefault="00C34172" w:rsidP="00C3417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-Mide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yanması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 asit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salgısına bağlı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mide </w:t>
      </w:r>
      <w:proofErr w:type="gram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şikayetleri</w:t>
      </w:r>
      <w:proofErr w:type="gramEnd"/>
    </w:p>
    <w:p w:rsidR="000B05B9" w:rsidRPr="00F772CF" w:rsidRDefault="00C34172" w:rsidP="00C34172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-Mide ve onikiparmak </w:t>
      </w:r>
      <w:proofErr w:type="spell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barsağı</w:t>
      </w:r>
      <w:proofErr w:type="spell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ülseri</w:t>
      </w:r>
    </w:p>
    <w:p w:rsidR="00C34172" w:rsidRPr="00F772CF" w:rsidRDefault="00C34172" w:rsidP="00C3417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F13AE" w:rsidRPr="00F772CF" w:rsidRDefault="0088026F" w:rsidP="00DF3C22">
      <w:pPr>
        <w:numPr>
          <w:ilvl w:val="1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4.2 </w:t>
      </w:r>
      <w:proofErr w:type="spellStart"/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Pozoloji</w:t>
      </w:r>
      <w:proofErr w:type="spellEnd"/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uygulama şekli </w:t>
      </w:r>
    </w:p>
    <w:p w:rsidR="009C7F77" w:rsidRPr="00F772CF" w:rsidRDefault="009C7F77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Pozoloji</w:t>
      </w:r>
      <w:proofErr w:type="spellEnd"/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 / uygulama sıklığı ve süresi:</w:t>
      </w:r>
    </w:p>
    <w:p w:rsidR="00213B2E" w:rsidRPr="00F772CF" w:rsidRDefault="00213B2E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Yetişkinlerde ve 12 yaşından büyük çocuklarda önerilen doz yemeklerden bir saat sonra</w:t>
      </w:r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DF3C22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ve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yatarken günde 3 defaya kadar </w:t>
      </w:r>
      <w:r w:rsidR="00DD65BF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1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-2 tablet, ay</w:t>
      </w:r>
      <w:r w:rsidR="00DD65BF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rı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ca mide ve/veya göğüste yanma veya</w:t>
      </w:r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mide ağrısı olduğunda </w:t>
      </w:r>
      <w:r w:rsidR="00DD65BF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1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veya 2 tablet alınmalıdır. Günde </w:t>
      </w:r>
      <w:r w:rsidR="00DD65BF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1</w:t>
      </w:r>
      <w:r w:rsidR="00CB18F6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1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tabletten fazla</w:t>
      </w:r>
      <w:r w:rsidR="00DD65BF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alınmamalıdır.</w:t>
      </w:r>
    </w:p>
    <w:p w:rsidR="00DD65BF" w:rsidRPr="00F772CF" w:rsidRDefault="00DD65BF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0A64C5" w:rsidRPr="00F772CF" w:rsidRDefault="00213B2E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Uygulama şekli:</w:t>
      </w:r>
    </w:p>
    <w:p w:rsidR="00213B2E" w:rsidRPr="00F772CF" w:rsidRDefault="00213B2E" w:rsidP="00DF3C22">
      <w:pPr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</w:pPr>
      <w:r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>Tablet emilir ya da çiğne</w:t>
      </w:r>
      <w:r w:rsidR="009C7F77"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>nebilir</w:t>
      </w:r>
      <w:r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 xml:space="preserve">. </w:t>
      </w: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Özel </w:t>
      </w:r>
      <w:proofErr w:type="gramStart"/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popülasyonlara</w:t>
      </w:r>
      <w:proofErr w:type="gramEnd"/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ilişkin </w:t>
      </w: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ek bilgiler:</w:t>
      </w: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Böbrek </w:t>
      </w: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yetmezliği:</w:t>
      </w:r>
    </w:p>
    <w:p w:rsidR="00213B2E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Böbrek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yetmezliği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vakalarında uzun süreli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kullanılmamalı,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kan kalsiyum ve magnezyum düzeyleri ile idrarla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atılan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kalsiyum miktarları kontrol edilmelidir.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Ağır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böbrek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yetmezliği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olan hastalarda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kullanılmamalıdır.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(</w:t>
      </w:r>
      <w:r w:rsidR="002F39FD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bkz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. Bölüm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4.3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.)</w:t>
      </w:r>
    </w:p>
    <w:p w:rsidR="00DD65BF" w:rsidRPr="00F772CF" w:rsidRDefault="00DD65BF" w:rsidP="00DF3C22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Karaciğer yetmezliği:</w:t>
      </w: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Temel antiasit etki mide asidinin nötralizasyonu yoluyla elde edilen </w:t>
      </w:r>
      <w:proofErr w:type="gram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lokal</w:t>
      </w:r>
      <w:proofErr w:type="gram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bir etki </w:t>
      </w:r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olduğundan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uygulanabilir değildir. Kalsiyum ve magnezyum karaciğerde </w:t>
      </w:r>
      <w:proofErr w:type="spell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metabolize</w:t>
      </w:r>
      <w:proofErr w:type="spell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edilmezler.</w:t>
      </w: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Pediatrik </w:t>
      </w:r>
      <w:proofErr w:type="gramStart"/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popülasyon</w:t>
      </w:r>
      <w:proofErr w:type="gramEnd"/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:</w:t>
      </w: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12 yaşın altındaki çocuklar için önerilemez.</w:t>
      </w: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Geriyatrik </w:t>
      </w:r>
      <w:proofErr w:type="gramStart"/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popülasyon</w:t>
      </w:r>
      <w:proofErr w:type="gramEnd"/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:</w:t>
      </w: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Antiasit etkinin </w:t>
      </w:r>
      <w:proofErr w:type="gram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lokal</w:t>
      </w:r>
      <w:proofErr w:type="gram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bir etki olması sebebiyle </w:t>
      </w:r>
      <w:proofErr w:type="spell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geriyatrik</w:t>
      </w:r>
      <w:proofErr w:type="spell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popülasyona özel </w:t>
      </w:r>
      <w:proofErr w:type="spell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pozoloji</w:t>
      </w:r>
      <w:proofErr w:type="spellEnd"/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geçerli değildir.</w:t>
      </w:r>
    </w:p>
    <w:p w:rsidR="00DD65BF" w:rsidRPr="00F772CF" w:rsidRDefault="00DD65BF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F13AE" w:rsidRPr="00F772CF" w:rsidRDefault="0088026F" w:rsidP="00DF3C22">
      <w:pPr>
        <w:numPr>
          <w:ilvl w:val="1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4.3 </w:t>
      </w:r>
      <w:proofErr w:type="spellStart"/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Kontrendikasyonlar</w:t>
      </w:r>
      <w:proofErr w:type="spellEnd"/>
    </w:p>
    <w:p w:rsidR="00DD65BF" w:rsidRPr="00F772CF" w:rsidRDefault="00DD65BF" w:rsidP="00DF3C22">
      <w:pPr>
        <w:numPr>
          <w:ilvl w:val="1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MAGCAR aşağıdaki durumlarda </w:t>
      </w:r>
      <w:r w:rsidR="00AE42CE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kesinlikle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kullanılmamalıdır:</w:t>
      </w:r>
    </w:p>
    <w:p w:rsidR="001D2A91" w:rsidRPr="00F772CF" w:rsidRDefault="00541C3D" w:rsidP="00DF3C2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İlacın içerdiği etken maddelerden herhangi birine karşı aşırı </w:t>
      </w:r>
      <w:r w:rsidR="009C7F77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hassasiyeti </w:t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olan</w:t>
      </w:r>
      <w:r w:rsidR="009C7F77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hasta</w:t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larda,  </w:t>
      </w:r>
    </w:p>
    <w:p w:rsidR="00DD65BF" w:rsidRPr="00F772CF" w:rsidRDefault="00DD65BF" w:rsidP="00DF3C2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Hiperkalsemi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ve/veya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hiperkalsemiyle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sonuçlanan durumlar,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örneğin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hiperparatiroidizm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. Vitamin D doz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aşımı,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paraneoplastik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sendrom</w:t>
      </w:r>
      <w:proofErr w:type="gramEnd"/>
    </w:p>
    <w:p w:rsidR="009C7F77" w:rsidRPr="00F772CF" w:rsidRDefault="009C7F77" w:rsidP="00DF3C2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Ağır böbrek yetmezliği olan hastalarda</w:t>
      </w:r>
    </w:p>
    <w:p w:rsidR="00DD65BF" w:rsidRPr="00F772CF" w:rsidRDefault="00DD65BF" w:rsidP="00DF3C2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Kalsiyum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tortuları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içeren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kalküler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nedeniyle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nefrolitiyaz</w:t>
      </w:r>
      <w:proofErr w:type="spellEnd"/>
    </w:p>
    <w:p w:rsidR="00DD65BF" w:rsidRPr="00F772CF" w:rsidRDefault="00DD65BF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</w:rPr>
      </w:pPr>
    </w:p>
    <w:p w:rsidR="00DD65BF" w:rsidRPr="00F772CF" w:rsidRDefault="00DD65BF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Aşağıdaki durumlarda MACGAR kullanılmamalıdır:</w:t>
      </w:r>
    </w:p>
    <w:p w:rsidR="00DD65BF" w:rsidRPr="00F772CF" w:rsidRDefault="00DD65BF" w:rsidP="009C7F77">
      <w:pPr>
        <w:pStyle w:val="ListeParagraf"/>
        <w:numPr>
          <w:ilvl w:val="1"/>
          <w:numId w:val="12"/>
        </w:numPr>
        <w:overflowPunct/>
        <w:spacing w:line="360" w:lineRule="auto"/>
        <w:ind w:left="709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Hipofosfatemi</w:t>
      </w:r>
      <w:proofErr w:type="spellEnd"/>
    </w:p>
    <w:p w:rsidR="00DD65BF" w:rsidRPr="00F772CF" w:rsidRDefault="00DD65BF" w:rsidP="009C7F77">
      <w:pPr>
        <w:pStyle w:val="ListeParagraf"/>
        <w:numPr>
          <w:ilvl w:val="1"/>
          <w:numId w:val="12"/>
        </w:numPr>
        <w:spacing w:line="360" w:lineRule="auto"/>
        <w:ind w:left="709"/>
        <w:jc w:val="both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Hiperkalsiüri</w:t>
      </w:r>
      <w:proofErr w:type="spellEnd"/>
    </w:p>
    <w:p w:rsidR="00DD65BF" w:rsidRPr="00F772CF" w:rsidRDefault="00DD65BF" w:rsidP="00DF3C22">
      <w:pPr>
        <w:pStyle w:val="ListeParagraf"/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9F13AE" w:rsidRPr="00F772CF" w:rsidRDefault="009F13AE" w:rsidP="00DF3C22">
      <w:pPr>
        <w:numPr>
          <w:ilvl w:val="1"/>
          <w:numId w:val="3"/>
        </w:numPr>
        <w:tabs>
          <w:tab w:val="clear" w:pos="720"/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Özel kullanım uyarıları ve önlemleri </w:t>
      </w: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Uzun süreli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kullanımdan kaçınılmalıdır.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Belirtilen doz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aşılmamalıdır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semptomlar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devam ederse veya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yalnızca kısmen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kaybolursa,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başka tıbbi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öneri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alınmalıdır.</w:t>
      </w: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lastRenderedPageBreak/>
        <w:t xml:space="preserve">Genel olarak böbrek fonksiyon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bozukluğu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olan hastalarda dikkatli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olunmalıdır.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Kalsiyum karbonat ve magnezyum karbonat ürünleri bu hastalarda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kullanılacaksa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plazma kalsiyum, fosfat ve magnezyum düzeyleri düzenli olarak izlenmelidir. </w:t>
      </w:r>
      <w:r w:rsidR="00F67F1A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MAGCAR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ürünlerinin hiçbirisi</w:t>
      </w:r>
      <w:r w:rsidR="00DF3C2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hiperkalsiüri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vakalarında kullanılmamalıdır.</w:t>
      </w: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Yüksek dozlarda uzun süreli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kullanım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özellikle böbrek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yetmezliği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olan hastalarda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hiperkalsemi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hipermagnezemi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ve süt-alkali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sendromu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gibi istenmeyen etkilere yol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açabilir. Bu ürünler çok miktarda süt ve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şarküteri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ürünüyle birlikte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alınmamalıdır.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Bu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ürünlerin uzun süre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kullanımı,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renal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kalkül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oluşumu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riskini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artırmaktadır.</w:t>
      </w: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Bu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tıbbi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ürün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şeker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içermektedir. Nadir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glukoz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-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galaktoz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malabsorpsiyon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hastalığı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olan </w:t>
      </w:r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hastaların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bu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ilacı kullanmamaları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gerekir.</w:t>
      </w:r>
    </w:p>
    <w:p w:rsidR="001A5522" w:rsidRPr="00F772CF" w:rsidRDefault="001A5522" w:rsidP="00DF3C22">
      <w:pPr>
        <w:tabs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541C3D" w:rsidRPr="00F772CF" w:rsidRDefault="001A5522" w:rsidP="00DF3C22">
      <w:pPr>
        <w:tabs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İki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hafta veya daha fazla süreyle kronik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kullanımda dişlere zararlı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olabilir.</w:t>
      </w:r>
    </w:p>
    <w:p w:rsidR="001A5522" w:rsidRPr="00F772CF" w:rsidRDefault="001A5522" w:rsidP="00DF3C22">
      <w:pPr>
        <w:tabs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F13AE" w:rsidRPr="00F772CF" w:rsidRDefault="009F13AE" w:rsidP="00DF3C22">
      <w:pPr>
        <w:numPr>
          <w:ilvl w:val="1"/>
          <w:numId w:val="3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Diğer tıbbi ürünler ile etkileşimler ve diğer etkileşim şekilleri </w:t>
      </w: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Antiasitler ile tedavi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sırasında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mide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asiditesindeki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değişiklikler, eş zamanlı alınıyorsa diğer 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ilaçları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absorbsiyon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hızını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ve derecesini bozabilir.</w:t>
      </w: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Kalsiyum ve magnezyum içeren 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antiasitlerin, antibiyotikler (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örneğin; </w:t>
      </w:r>
      <w:proofErr w:type="spellStart"/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kinolonlar</w:t>
      </w:r>
      <w:proofErr w:type="spellEnd"/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) ve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kardiyakglikozitler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(örneğin;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digoksin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),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levotiro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ksin</w:t>
      </w:r>
      <w:proofErr w:type="spellEnd"/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ve </w:t>
      </w:r>
      <w:proofErr w:type="spellStart"/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eltrombopag</w:t>
      </w:r>
      <w:proofErr w:type="spellEnd"/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ile </w:t>
      </w:r>
      <w:proofErr w:type="spellStart"/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rezorbe</w:t>
      </w:r>
      <w:proofErr w:type="spellEnd"/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edilemeyen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kompleksler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oluşturabilidiği</w:t>
      </w:r>
      <w:proofErr w:type="spell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absorbsiyonun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azalmasına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neden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olduğu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gösterilmiş</w:t>
      </w:r>
      <w:r w:rsidR="008D557E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tir.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Eş zamanlı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uygulama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düşün</w:t>
      </w:r>
      <w:r w:rsidR="008D557E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ü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lürken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bu durum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akılda tutulmalıdır.</w:t>
      </w:r>
    </w:p>
    <w:p w:rsidR="008D557E" w:rsidRPr="00F772CF" w:rsidRDefault="008D557E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Tetrasiklinler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sefalosporinler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ile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eşzamanlı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olarak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kullanılan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antasitler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, bu ilaçlardan</w:t>
      </w:r>
      <w:r w:rsidR="001A4921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en az 2 saat önce veya 2 saat sonra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alınmalıdır.</w:t>
      </w:r>
    </w:p>
    <w:p w:rsidR="008D557E" w:rsidRPr="00F772CF" w:rsidRDefault="008D557E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Vitamin D, kalsiyum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rezorpsiyonunu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artı</w:t>
      </w:r>
      <w:r w:rsidR="008D557E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rı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r.</w:t>
      </w:r>
    </w:p>
    <w:p w:rsidR="008D557E" w:rsidRPr="00F772CF" w:rsidRDefault="008D557E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Tiyazid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tipi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diüretikler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kalsiyumun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atılımını düşürür.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Tiyazidlerle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eş zamanlı </w:t>
      </w:r>
      <w:r w:rsidR="008D557E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MAGCAR</w:t>
      </w:r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tedavisinde artan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hiperkalsemi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ri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ski nedeniyle serum kalsiyumu dü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zenli olarak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izlenmelidir.</w:t>
      </w:r>
    </w:p>
    <w:p w:rsidR="008D557E" w:rsidRPr="00F772CF" w:rsidRDefault="008D557E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8D557E" w:rsidRPr="00F772CF" w:rsidRDefault="008D557E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MAGCAR</w:t>
      </w:r>
      <w:r w:rsidR="001A5522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alımı </w:t>
      </w:r>
      <w:r w:rsidR="001A552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neticesinde kanda kalsiyum seviyesi yükselirse, kardiyak glikozitlere</w:t>
      </w:r>
      <w:r w:rsidR="001A4921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1A5522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karşı </w:t>
      </w:r>
      <w:r w:rsidR="001A552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hassasiyet artar ve kalp </w:t>
      </w:r>
      <w:proofErr w:type="spellStart"/>
      <w:r w:rsidR="001A552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ritm</w:t>
      </w:r>
      <w:proofErr w:type="spellEnd"/>
      <w:r w:rsidR="001A552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1A5522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bozuklukları </w:t>
      </w:r>
      <w:r w:rsidR="001A552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riski yükselir.</w:t>
      </w: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lastRenderedPageBreak/>
        <w:t xml:space="preserve">Kalsiyum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tuzları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florürlerin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ve demir içeren ürünlerin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absorbsiyonunu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d</w:t>
      </w:r>
      <w:r w:rsidR="008D557E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ü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şürebilir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ve</w:t>
      </w:r>
      <w:r w:rsidR="001A4921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kalsiyum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tuzları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ile magnezyum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tuzları fosfatların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absorbsiyonunun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aksatabilir.</w:t>
      </w:r>
    </w:p>
    <w:p w:rsidR="008D557E" w:rsidRPr="00F772CF" w:rsidRDefault="008D557E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Eşzamanlı kullanımda,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klorokin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allopirinol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non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-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sterodial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anti-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enflamatuvarlar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örneğin</w:t>
      </w:r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diflofenak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asetilsalisik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asit,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penisilamin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digoksin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isoniazid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kaptopril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,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propranolol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,</w:t>
      </w:r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ketakonazol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gabapentin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, H2-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blokerleri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difosfonat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demir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bileşikleri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klorpromazin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gibi</w:t>
      </w:r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ilaçlar için daha k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ü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çük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çaplı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absorbsiyon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8D557E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düşüş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leri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söz konusudur.</w:t>
      </w:r>
    </w:p>
    <w:p w:rsidR="008D557E" w:rsidRPr="00F772CF" w:rsidRDefault="008D557E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Antiasitler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dikumarol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absorbsiyonunu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arttırabilir.</w:t>
      </w:r>
    </w:p>
    <w:p w:rsidR="008D557E" w:rsidRPr="00F772CF" w:rsidRDefault="008D557E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Olası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rezorpsiyon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etkilenmeleri dikkate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alınarak,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asit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bağlayan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mide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ilaçlarının alımı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ile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DF3C22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diğer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ilaçların alımı arasında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genel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olarak 2 saatlik bir ara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bırakılmalıdır.</w:t>
      </w:r>
    </w:p>
    <w:p w:rsidR="008D557E" w:rsidRPr="00F772CF" w:rsidRDefault="008D557E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1A5522" w:rsidRPr="00F772CF" w:rsidRDefault="001A5522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Süt 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ü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rünleri yüksek oranda kalsiyum içerir. 1 litre süt 1200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mg'a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kadar varan miktarda</w:t>
      </w:r>
      <w:r w:rsidR="008D557E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DF3C2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kalsiyum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içerebilir. </w:t>
      </w:r>
      <w:r w:rsidR="008D557E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MAGCAR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kullanımı sırasında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bu bilgi dikkate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alınmalıdır.</w:t>
      </w:r>
    </w:p>
    <w:p w:rsidR="00541C3D" w:rsidRPr="00F772CF" w:rsidRDefault="00541C3D" w:rsidP="00DF3C22">
      <w:pPr>
        <w:tabs>
          <w:tab w:val="left" w:pos="390"/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F13AE" w:rsidRPr="00F772CF" w:rsidRDefault="009F13AE" w:rsidP="00DF3C22">
      <w:pPr>
        <w:numPr>
          <w:ilvl w:val="1"/>
          <w:numId w:val="3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Gebelik ve </w:t>
      </w:r>
      <w:proofErr w:type="spellStart"/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</w:p>
    <w:p w:rsidR="00F27E3B" w:rsidRPr="00F772CF" w:rsidRDefault="00F27E3B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Tavsiye</w:t>
      </w:r>
    </w:p>
    <w:p w:rsidR="00F27E3B" w:rsidRPr="00F772CF" w:rsidRDefault="008D557E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Gebelik kategori</w:t>
      </w:r>
      <w:r w:rsidR="002F39FD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</w:t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FD271D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</w:t>
      </w:r>
      <w:r w:rsidR="002F39FD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’dir</w:t>
      </w:r>
      <w:proofErr w:type="spellEnd"/>
      <w:r w:rsidR="002F39FD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8D557E" w:rsidRPr="00F772CF" w:rsidRDefault="008D557E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F27E3B" w:rsidRPr="00F772CF" w:rsidRDefault="00F27E3B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Çocuk doğurma potansiyeli bulunan kadınlar/Doğum kontrolü (</w:t>
      </w:r>
      <w:proofErr w:type="spellStart"/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Kontrasepsiyon</w:t>
      </w:r>
      <w:proofErr w:type="spellEnd"/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)</w:t>
      </w:r>
    </w:p>
    <w:p w:rsidR="008D557E" w:rsidRPr="00F772CF" w:rsidRDefault="002F39FD" w:rsidP="00DF3C22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Ç</w:t>
      </w:r>
      <w:r w:rsidR="00C3417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ocuk </w:t>
      </w:r>
      <w:r w:rsidR="00C34172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doğurma </w:t>
      </w:r>
      <w:r w:rsidR="00C3417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potansiyeli bulunan </w:t>
      </w:r>
      <w:r w:rsidR="00C34172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kadınlarda kullanım </w:t>
      </w:r>
      <w:r w:rsidR="00C3417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için bir </w:t>
      </w:r>
      <w:r w:rsidR="00C34172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kısıtlama </w:t>
      </w:r>
      <w:r w:rsidR="00C34172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yoktur.</w:t>
      </w:r>
    </w:p>
    <w:p w:rsidR="00C34172" w:rsidRPr="00F772CF" w:rsidRDefault="00C34172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F27E3B" w:rsidRPr="00F772CF" w:rsidRDefault="00F27E3B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Gebelik dönemi</w:t>
      </w:r>
    </w:p>
    <w:p w:rsidR="00C34172" w:rsidRPr="00F772CF" w:rsidRDefault="00C34172" w:rsidP="00C3417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Çok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sayıda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gebelikte maruz kalma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olgularına ilişkin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veriler, </w:t>
      </w:r>
      <w:proofErr w:type="spellStart"/>
      <w:r w:rsidR="00164645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MAGCAR’</w:t>
      </w:r>
      <w:r w:rsidR="00164645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ı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gebelik üzerinde ya da fetüsün / yeni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doğan çocuğun sağlığı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üzerinde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advers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etkileri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olduğunu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164645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göstermemektedir. Bugü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ne kadar herhangi önemli bir epidemiyolojik veri elde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edilmemiştir.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</w:p>
    <w:p w:rsidR="00060EC4" w:rsidRPr="00F772CF" w:rsidRDefault="00C34172" w:rsidP="00C3417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Gebe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kadınlara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verilirken tedbirli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olunmalıdır.</w:t>
      </w:r>
    </w:p>
    <w:p w:rsidR="002F39FD" w:rsidRPr="00F772CF" w:rsidRDefault="002F39FD" w:rsidP="00C3417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C34172" w:rsidRPr="00F772CF" w:rsidRDefault="00C34172" w:rsidP="00C3417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Gebe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kadınlar tarafından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bu ürünlerin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kullanılmasından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sonra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konjenital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kusur riskinde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artış gözlenmemiştir.</w:t>
      </w:r>
    </w:p>
    <w:p w:rsidR="002F39FD" w:rsidRPr="00F772CF" w:rsidRDefault="002F39FD" w:rsidP="00C3417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C34172" w:rsidRPr="00F772CF" w:rsidRDefault="00C34172" w:rsidP="00C3417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Önerilen dozlar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uygulandığında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kalsiyum karbonat ve magnezyum karbonat emzirme döneminde güvenle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kullanılabilir.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Ancak, uzun süreli ve yüksek doz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kullanımdan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kaçınılmalıdır.</w:t>
      </w:r>
    </w:p>
    <w:p w:rsidR="00C34172" w:rsidRPr="00F772CF" w:rsidRDefault="00C34172" w:rsidP="00C3417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lastRenderedPageBreak/>
        <w:t xml:space="preserve">Gebe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kadınlar,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bu ürünlerin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kullanımı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maksimum önerilen günlük dozla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sınırlamalıdır</w:t>
      </w:r>
      <w:r w:rsidR="00C5111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(</w:t>
      </w:r>
      <w:r w:rsidR="002F39FD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bkz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. Bölüm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4.2</w:t>
      </w:r>
      <w:proofErr w:type="gram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)</w:t>
      </w:r>
    </w:p>
    <w:p w:rsidR="002F39FD" w:rsidRPr="00F772CF" w:rsidRDefault="002F39FD" w:rsidP="00C3417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F27E3B" w:rsidRPr="00F772CF" w:rsidRDefault="00F27E3B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dönemi</w:t>
      </w:r>
    </w:p>
    <w:p w:rsidR="001B3726" w:rsidRPr="00F772CF" w:rsidRDefault="00060EC4" w:rsidP="00DF3C22">
      <w:pPr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2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Önerilen dozlar</w:t>
      </w:r>
      <w:r w:rsidR="009C7F77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da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uygulandığında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kalsiyum karbonat ve magnezyum karbonat emzirme döneminde güvenle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kullanılabilir. </w:t>
      </w:r>
      <w:r w:rsidR="002F39FD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Ancak, </w:t>
      </w:r>
      <w:proofErr w:type="spellStart"/>
      <w:r w:rsidR="002F39FD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>u</w:t>
      </w:r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>zun</w:t>
      </w:r>
      <w:proofErr w:type="spellEnd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 xml:space="preserve"> </w:t>
      </w:r>
      <w:proofErr w:type="spellStart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>süreli</w:t>
      </w:r>
      <w:proofErr w:type="spellEnd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 xml:space="preserve"> </w:t>
      </w:r>
      <w:proofErr w:type="spellStart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>ve</w:t>
      </w:r>
      <w:proofErr w:type="spellEnd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 xml:space="preserve"> </w:t>
      </w:r>
      <w:proofErr w:type="spellStart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>yüksek</w:t>
      </w:r>
      <w:proofErr w:type="spellEnd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 xml:space="preserve"> </w:t>
      </w:r>
      <w:proofErr w:type="spellStart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>doz</w:t>
      </w:r>
      <w:proofErr w:type="spellEnd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 xml:space="preserve"> </w:t>
      </w:r>
      <w:proofErr w:type="spellStart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>kullanımdan</w:t>
      </w:r>
      <w:proofErr w:type="spellEnd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 xml:space="preserve"> </w:t>
      </w:r>
      <w:proofErr w:type="spellStart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>kaçınılmalıdır</w:t>
      </w:r>
      <w:proofErr w:type="spellEnd"/>
      <w:r w:rsidR="001B3726" w:rsidRPr="00F772CF">
        <w:rPr>
          <w:rFonts w:ascii="Times New Roman" w:hAnsi="Times New Roman" w:cs="Arial"/>
          <w:spacing w:val="0"/>
          <w:position w:val="0"/>
          <w:sz w:val="24"/>
          <w:szCs w:val="22"/>
        </w:rPr>
        <w:t xml:space="preserve">. </w:t>
      </w:r>
    </w:p>
    <w:p w:rsidR="00060EC4" w:rsidRPr="00F772CF" w:rsidRDefault="00060EC4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377119" w:rsidRPr="00F772CF" w:rsidRDefault="00F27E3B" w:rsidP="00DF3C22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Üreme yeteneği (</w:t>
      </w:r>
      <w:proofErr w:type="spellStart"/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fertilite</w:t>
      </w:r>
      <w:proofErr w:type="spellEnd"/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)</w:t>
      </w:r>
    </w:p>
    <w:p w:rsidR="002151A5" w:rsidRPr="00F772CF" w:rsidRDefault="00F27E3B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Üreme yeteneği üzerine herhangi bir etkisi </w:t>
      </w:r>
      <w:r w:rsidR="009C7F77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bulunmamaktadır</w:t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2151A5" w:rsidRPr="00F772CF" w:rsidRDefault="002151A5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F13AE" w:rsidRPr="00F772CF" w:rsidRDefault="009F13AE" w:rsidP="00DF3C22">
      <w:pPr>
        <w:numPr>
          <w:ilvl w:val="1"/>
          <w:numId w:val="3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Araç ve makine kullanımı üzerindeki etkiler</w:t>
      </w:r>
    </w:p>
    <w:p w:rsidR="00D64CBD" w:rsidRPr="00F772CF" w:rsidRDefault="002F39FD" w:rsidP="002F39FD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1"/>
          <w:szCs w:val="21"/>
          <w:lang w:val="tr-TR"/>
        </w:rPr>
      </w:pPr>
      <w:proofErr w:type="spellStart"/>
      <w:proofErr w:type="gramStart"/>
      <w:r w:rsidRPr="00F772CF">
        <w:rPr>
          <w:rFonts w:ascii="Times New Roman" w:hAnsi="Times New Roman"/>
          <w:spacing w:val="0"/>
          <w:position w:val="0"/>
          <w:sz w:val="24"/>
        </w:rPr>
        <w:t>MAGCAR</w:t>
      </w:r>
      <w:r w:rsidR="009C7F77" w:rsidRPr="00F772CF">
        <w:rPr>
          <w:rFonts w:ascii="Times New Roman" w:hAnsi="Times New Roman"/>
          <w:spacing w:val="0"/>
          <w:position w:val="0"/>
          <w:sz w:val="24"/>
        </w:rPr>
        <w:t>’ın</w:t>
      </w:r>
      <w:proofErr w:type="spellEnd"/>
      <w:r w:rsidRPr="00F772CF">
        <w:rPr>
          <w:rFonts w:ascii="Times New Roman" w:hAnsi="Times New Roman"/>
          <w:spacing w:val="0"/>
          <w:position w:val="0"/>
          <w:sz w:val="24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position w:val="0"/>
          <w:sz w:val="24"/>
        </w:rPr>
        <w:t>a</w:t>
      </w:r>
      <w:r w:rsidR="00541C3D" w:rsidRPr="00F772CF">
        <w:rPr>
          <w:rFonts w:ascii="Times New Roman" w:hAnsi="Times New Roman"/>
          <w:spacing w:val="0"/>
          <w:position w:val="0"/>
          <w:sz w:val="24"/>
        </w:rPr>
        <w:t>raç</w:t>
      </w:r>
      <w:proofErr w:type="spellEnd"/>
      <w:r w:rsidR="00541C3D" w:rsidRPr="00F772CF">
        <w:rPr>
          <w:rFonts w:ascii="Times New Roman" w:hAnsi="Times New Roman"/>
          <w:spacing w:val="0"/>
          <w:position w:val="0"/>
          <w:sz w:val="24"/>
        </w:rPr>
        <w:t xml:space="preserve"> </w:t>
      </w:r>
      <w:proofErr w:type="spellStart"/>
      <w:r w:rsidR="00541C3D" w:rsidRPr="00F772CF">
        <w:rPr>
          <w:rFonts w:ascii="Times New Roman" w:hAnsi="Times New Roman"/>
          <w:spacing w:val="0"/>
          <w:position w:val="0"/>
          <w:sz w:val="24"/>
        </w:rPr>
        <w:t>ve</w:t>
      </w:r>
      <w:proofErr w:type="spellEnd"/>
      <w:r w:rsidR="00541C3D" w:rsidRPr="00F772CF">
        <w:rPr>
          <w:rFonts w:ascii="Times New Roman" w:hAnsi="Times New Roman"/>
          <w:spacing w:val="0"/>
          <w:position w:val="0"/>
          <w:sz w:val="24"/>
        </w:rPr>
        <w:t xml:space="preserve"> </w:t>
      </w:r>
      <w:proofErr w:type="spellStart"/>
      <w:r w:rsidR="00541C3D" w:rsidRPr="00F772CF">
        <w:rPr>
          <w:rFonts w:ascii="Times New Roman" w:hAnsi="Times New Roman"/>
          <w:spacing w:val="0"/>
          <w:position w:val="0"/>
          <w:sz w:val="24"/>
        </w:rPr>
        <w:t>makine</w:t>
      </w:r>
      <w:proofErr w:type="spellEnd"/>
      <w:r w:rsidR="00541C3D" w:rsidRPr="00F772CF">
        <w:rPr>
          <w:rFonts w:ascii="Times New Roman" w:hAnsi="Times New Roman"/>
          <w:spacing w:val="0"/>
          <w:position w:val="0"/>
          <w:sz w:val="24"/>
        </w:rPr>
        <w:t xml:space="preserve"> </w:t>
      </w:r>
      <w:r w:rsidR="00C5111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kullanımı üzerine herhangi bir etki göstermesi beklenmemektedir.</w:t>
      </w:r>
      <w:proofErr w:type="gramEnd"/>
    </w:p>
    <w:p w:rsidR="00C51113" w:rsidRPr="00F772CF" w:rsidRDefault="00C51113" w:rsidP="002F39FD">
      <w:pPr>
        <w:overflowPunct/>
        <w:spacing w:line="360" w:lineRule="auto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9F13AE" w:rsidRPr="00F772CF" w:rsidRDefault="009F13AE" w:rsidP="00DF3C22">
      <w:pPr>
        <w:numPr>
          <w:ilvl w:val="1"/>
          <w:numId w:val="3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İstenmeyen etkiler</w:t>
      </w:r>
    </w:p>
    <w:p w:rsidR="002F39FD" w:rsidRPr="00F772CF" w:rsidRDefault="002F39FD" w:rsidP="00DF3C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2CF">
        <w:rPr>
          <w:rFonts w:ascii="Times New Roman" w:hAnsi="Times New Roman"/>
          <w:sz w:val="24"/>
          <w:szCs w:val="24"/>
        </w:rPr>
        <w:t>İstenmeyen</w:t>
      </w:r>
      <w:proofErr w:type="spellEnd"/>
      <w:r w:rsidRPr="00F77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2CF">
        <w:rPr>
          <w:rFonts w:ascii="Times New Roman" w:hAnsi="Times New Roman"/>
          <w:sz w:val="24"/>
          <w:szCs w:val="24"/>
        </w:rPr>
        <w:t>etkilerin</w:t>
      </w:r>
      <w:proofErr w:type="spellEnd"/>
      <w:r w:rsidRPr="00F77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2CF">
        <w:rPr>
          <w:rFonts w:ascii="Times New Roman" w:hAnsi="Times New Roman"/>
          <w:sz w:val="24"/>
          <w:szCs w:val="24"/>
        </w:rPr>
        <w:t>değerlendirilmesi</w:t>
      </w:r>
      <w:proofErr w:type="spellEnd"/>
      <w:r w:rsidRPr="00F77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2CF">
        <w:rPr>
          <w:rFonts w:ascii="Times New Roman" w:hAnsi="Times New Roman"/>
          <w:sz w:val="24"/>
          <w:szCs w:val="24"/>
        </w:rPr>
        <w:t>aşağıdaki</w:t>
      </w:r>
      <w:proofErr w:type="spellEnd"/>
      <w:r w:rsidRPr="00F77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2CF">
        <w:rPr>
          <w:rFonts w:ascii="Times New Roman" w:hAnsi="Times New Roman"/>
          <w:sz w:val="24"/>
          <w:szCs w:val="24"/>
        </w:rPr>
        <w:t>sıklıklara</w:t>
      </w:r>
      <w:proofErr w:type="spellEnd"/>
      <w:r w:rsidRPr="00F77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2CF">
        <w:rPr>
          <w:rFonts w:ascii="Times New Roman" w:hAnsi="Times New Roman"/>
          <w:sz w:val="24"/>
          <w:szCs w:val="24"/>
        </w:rPr>
        <w:t>dayanarak</w:t>
      </w:r>
      <w:proofErr w:type="spellEnd"/>
      <w:r w:rsidRPr="00F77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2CF">
        <w:rPr>
          <w:rFonts w:ascii="Times New Roman" w:hAnsi="Times New Roman"/>
          <w:sz w:val="24"/>
          <w:szCs w:val="24"/>
        </w:rPr>
        <w:t>yapılır</w:t>
      </w:r>
      <w:proofErr w:type="spellEnd"/>
      <w:r w:rsidRPr="00F772CF">
        <w:rPr>
          <w:rFonts w:ascii="Times New Roman" w:hAnsi="Times New Roman"/>
          <w:sz w:val="24"/>
          <w:szCs w:val="24"/>
        </w:rPr>
        <w:t>:</w:t>
      </w:r>
    </w:p>
    <w:p w:rsidR="00CD6187" w:rsidRPr="00F772CF" w:rsidRDefault="00CD6187" w:rsidP="00CF3753">
      <w:pPr>
        <w:overflowPunct/>
        <w:spacing w:line="360" w:lineRule="auto"/>
        <w:jc w:val="both"/>
        <w:textAlignment w:val="auto"/>
        <w:rPr>
          <w:rFonts w:ascii="Times New Roman" w:eastAsia="TimesNew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TimesNewRoman" w:hAnsi="Times New Roman"/>
          <w:spacing w:val="0"/>
          <w:kern w:val="0"/>
          <w:position w:val="0"/>
          <w:sz w:val="24"/>
          <w:szCs w:val="24"/>
          <w:lang w:val="tr-TR"/>
        </w:rPr>
        <w:t>Çok yaygın (≥1/10); yaygın (≥1/100 ila &lt;1/10); yaygın olmayan (≥1/1.000 ila &lt;1/100); seyrek (≥1/10.000 ila &lt;1/1.000); çok seyrek (&lt;1/10.000), bilinmiyor (eldeki verilerden hareketle tahmin edilemiyor).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Listenilen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istenmeyen etkiler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spontan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raporlara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dayanmaktadır.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Bu sebeple, her biri için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sıklık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bilgisi verilmesi mümkün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değildir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.</w:t>
      </w:r>
    </w:p>
    <w:p w:rsidR="00195D54" w:rsidRPr="00F772CF" w:rsidRDefault="00195D54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Bağışıklık sistemi hastalıkları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Bilinmiyor: Aşırı duyarlılık reaksiyonları çok nadir bildirilmiştir. Klinik semptomlar döküntü, </w:t>
      </w:r>
      <w:r w:rsidR="00195D54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ürtiker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, anjiyo ödem ve </w:t>
      </w:r>
      <w:proofErr w:type="gram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anafilaksiyi</w:t>
      </w:r>
      <w:proofErr w:type="gram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içerebilir.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Metabolizma ve beslenme </w:t>
      </w: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hastalıkları</w:t>
      </w:r>
    </w:p>
    <w:p w:rsidR="00195D54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Bilinmiyor: Özellikle böbrek fonksiyon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bozukluğu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olan hastalarda, yüksek dozlarda uzun süreli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kullanımı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hipermagnezemi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hiperkalsemiye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ve mide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semptomlarına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kas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zayıflığına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neden olabilecek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alkaloza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yol açabilir.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Sinir sistemi </w:t>
      </w: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hastalıkları</w:t>
      </w:r>
    </w:p>
    <w:p w:rsidR="00D64CBD" w:rsidRPr="00F772CF" w:rsidRDefault="00D64CBD" w:rsidP="00DF3C22">
      <w:pPr>
        <w:tabs>
          <w:tab w:val="left" w:pos="390"/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Bilinmiyor: Yalnızca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Süt-alkali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sendromu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söz konusu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olduğunda; baş ağrısı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görülebilir.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Gastrointestinal </w:t>
      </w: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hastalıkları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Bilinmiyor: Bulantı, kusma, mide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bulantısı,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kusma, mide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rahatsızlığı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ve ishal görülebilir.</w:t>
      </w:r>
      <w:r w:rsidR="001A4921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Yalnızca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Süt-alkali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sendromu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söz konusu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olduğunda;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tat alamama görülebilir.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lastRenderedPageBreak/>
        <w:t xml:space="preserve">Kas-iskelet </w:t>
      </w: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bozuklukları, bağ </w:t>
      </w: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doku ve kemik </w:t>
      </w: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hastalıkları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Bilinmiyor: Kas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zayıflığı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görülebilir.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Böbrek ve idrar </w:t>
      </w: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hastalıkları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Bilinmiyor: Yalnızca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Süt-alkali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sendromu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söz konusu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olduğunda;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azotemi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görülebilir.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 xml:space="preserve">Genel bozukluklar ve uygulama bölgesine </w:t>
      </w:r>
      <w:r w:rsidRPr="00F772CF">
        <w:rPr>
          <w:rFonts w:ascii="Times New Roman" w:eastAsia="HiddenHorzOCR" w:hAnsi="Times New Roman"/>
          <w:b/>
          <w:spacing w:val="0"/>
          <w:kern w:val="0"/>
          <w:position w:val="0"/>
          <w:sz w:val="24"/>
          <w:szCs w:val="24"/>
          <w:lang w:val="tr-TR"/>
        </w:rPr>
        <w:t>ilişkin hastalıklar</w:t>
      </w: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Bilinmiyor: Yalnızca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Süt-alkali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sendromu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söz konusu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olduğunda;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kireçlenme ve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asteni</w:t>
      </w:r>
      <w:proofErr w:type="spellEnd"/>
      <w:r w:rsidR="001A4921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görülebilir.</w:t>
      </w:r>
    </w:p>
    <w:p w:rsidR="00D64CBD" w:rsidRPr="00F772CF" w:rsidRDefault="00D64CBD" w:rsidP="00DF3C22">
      <w:pPr>
        <w:tabs>
          <w:tab w:val="left" w:pos="390"/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C50E0A" w:rsidRPr="00F772CF" w:rsidRDefault="00C50E0A" w:rsidP="00C50E0A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sz w:val="24"/>
          <w:szCs w:val="24"/>
          <w:u w:val="single"/>
          <w:lang w:eastAsia="nl-NL"/>
        </w:rPr>
      </w:pPr>
      <w:proofErr w:type="spellStart"/>
      <w:r w:rsidRPr="00F772CF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Ş</w:t>
      </w:r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üpheli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advers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reaksiyonlar</w:t>
      </w:r>
      <w:r w:rsidRPr="00F772CF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n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raporlanmas</w:t>
      </w:r>
      <w:r w:rsidRPr="00F772CF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ı</w:t>
      </w:r>
      <w:proofErr w:type="spellEnd"/>
    </w:p>
    <w:p w:rsidR="00C50E0A" w:rsidRPr="00F772CF" w:rsidRDefault="00C50E0A" w:rsidP="00C50E0A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eastAsia="nl-NL"/>
        </w:rPr>
      </w:pPr>
      <w:proofErr w:type="spellStart"/>
      <w:proofErr w:type="gram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Ruhsatland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rma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sonras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ş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üpheli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ilaç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advers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reaksiyonlar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raporlanmas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büyük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önem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ta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şı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maktad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r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Raporlama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yap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lmas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ilac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yarar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/risk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dengesinin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sürekli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olarak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izlenmesine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olanak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sa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lar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Sa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l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k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mesle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i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mensuplar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herhangi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bir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 w:hint="eastAsia"/>
          <w:spacing w:val="0"/>
          <w:sz w:val="24"/>
          <w:szCs w:val="24"/>
          <w:lang w:eastAsia="nl-NL"/>
        </w:rPr>
        <w:t>şü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pheli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advers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reaksiyonu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Türkiye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Farmakovijilans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Merkezi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(TÜFAM)'ne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bildirmeleri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gerekmektedir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 (</w:t>
      </w:r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www.titck.gov.tr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; e-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posta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: </w:t>
      </w:r>
      <w:r w:rsidRPr="00F772CF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tufam@titck.gov.tr</w:t>
      </w:r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;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tel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 xml:space="preserve">: 0 800 314 00 08;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faks</w:t>
      </w:r>
      <w:proofErr w:type="spellEnd"/>
      <w:r w:rsidRPr="00F772CF">
        <w:rPr>
          <w:rFonts w:ascii="Times New Roman" w:hAnsi="Times New Roman"/>
          <w:spacing w:val="0"/>
          <w:sz w:val="24"/>
          <w:szCs w:val="24"/>
          <w:lang w:eastAsia="nl-NL"/>
        </w:rPr>
        <w:t>: 0 312 218 35 99)</w:t>
      </w:r>
    </w:p>
    <w:p w:rsidR="00C50E0A" w:rsidRPr="00F772CF" w:rsidRDefault="00C50E0A" w:rsidP="00DF3C22">
      <w:pPr>
        <w:tabs>
          <w:tab w:val="left" w:pos="390"/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F13AE" w:rsidRPr="00F772CF" w:rsidRDefault="009F13AE" w:rsidP="00DF3C22">
      <w:pPr>
        <w:numPr>
          <w:ilvl w:val="1"/>
          <w:numId w:val="3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Doz aşımı ve tedavisi</w:t>
      </w:r>
    </w:p>
    <w:p w:rsidR="00D64CBD" w:rsidRPr="00F772CF" w:rsidRDefault="004F6E94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MAGCAR</w:t>
      </w:r>
      <w:r w:rsidR="00D64CBD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D64CBD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kullanımının </w:t>
      </w:r>
      <w:r w:rsidR="00D64CBD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akut </w:t>
      </w:r>
      <w:proofErr w:type="spellStart"/>
      <w:r w:rsidR="00D64CBD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intoksikasyon</w:t>
      </w:r>
      <w:proofErr w:type="spellEnd"/>
      <w:r w:rsidR="00D64CBD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gramStart"/>
      <w:r w:rsidR="00D64CBD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semptomlarına</w:t>
      </w:r>
      <w:proofErr w:type="gramEnd"/>
      <w:r w:rsidR="00D64CBD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D64CBD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yol </w:t>
      </w:r>
      <w:r w:rsidR="00D64CBD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açması</w:t>
      </w:r>
      <w:r w:rsidR="001A4921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D64CBD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beklenmez.</w:t>
      </w:r>
    </w:p>
    <w:p w:rsidR="004F6E94" w:rsidRPr="00F772CF" w:rsidRDefault="004F6E94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D64CB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Özellikle böbrek fonksiyon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bozukluğu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olan hastalarda, kalsiyum karbonat ve magnezyum</w:t>
      </w:r>
      <w:r w:rsidR="001A4921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karbonatın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uzun süreyle yüksek dozlarda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kullanılması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hiperkalsemi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,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hipermagnezemi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,</w:t>
      </w:r>
      <w:r w:rsidR="004F6E94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1A4921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böbrek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yetmezliği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gastrointestinal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semptomlara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bulantı,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kusma ve </w:t>
      </w:r>
      <w:r w:rsidR="004F6E94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kabızlık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ve kas</w:t>
      </w:r>
      <w:r w:rsidR="004F6E94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zayıflığına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neden olabilecek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alkaloza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yol alabilir.</w:t>
      </w:r>
    </w:p>
    <w:p w:rsidR="004F6E94" w:rsidRPr="00F772CF" w:rsidRDefault="004F6E94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541C3D" w:rsidRPr="00F772CF" w:rsidRDefault="00D64CBD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Bu durumlarda ürünün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alımı durdurulmalı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 yeterli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sıvı alımı teşvik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edilmelidir. Ciddi</w:t>
      </w:r>
      <w:r w:rsidR="004F6E94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aşırı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doz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durumlarında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(örn. Süt-alkali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sendromu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),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diğer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rehidratasyon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önlemleri</w:t>
      </w:r>
      <w:r w:rsidR="004F6E94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(örn.</w:t>
      </w:r>
      <w:r w:rsidR="004F6E94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infü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zyon) gerekli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olabileceğinden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hekime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danışılmalıdır.</w:t>
      </w:r>
    </w:p>
    <w:p w:rsidR="004F6E94" w:rsidRPr="00F772CF" w:rsidRDefault="004F6E94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9F13AE" w:rsidRPr="00F772CF" w:rsidRDefault="009F13AE" w:rsidP="00DF3C22">
      <w:pPr>
        <w:numPr>
          <w:ilvl w:val="0"/>
          <w:numId w:val="1"/>
        </w:numPr>
        <w:tabs>
          <w:tab w:val="clear" w:pos="720"/>
          <w:tab w:val="num" w:pos="0"/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FARMAKOLOJİK ÖZELLİKLER </w:t>
      </w:r>
    </w:p>
    <w:p w:rsidR="009F13AE" w:rsidRPr="00F772CF" w:rsidRDefault="0088026F" w:rsidP="00DF3C22">
      <w:pPr>
        <w:numPr>
          <w:ilvl w:val="1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5.1 </w:t>
      </w:r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Farmakodinamik özellikler </w:t>
      </w:r>
    </w:p>
    <w:p w:rsidR="004F6E94" w:rsidRPr="00F772CF" w:rsidRDefault="004F6E94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ATC kodu: A02AD01</w:t>
      </w:r>
    </w:p>
    <w:p w:rsidR="00C51113" w:rsidRPr="00F772CF" w:rsidRDefault="009F13AE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Farmakoterapötik</w:t>
      </w:r>
      <w:proofErr w:type="spellEnd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grup: </w:t>
      </w:r>
      <w:proofErr w:type="spellStart"/>
      <w:r w:rsidR="00427D58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Antasidler</w:t>
      </w:r>
      <w:proofErr w:type="spellEnd"/>
      <w:r w:rsidR="00427D58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(Kombine Alüminyum, Kalsiyum ve Magnezyum Preparatları ve Kompleksleri)</w:t>
      </w:r>
    </w:p>
    <w:p w:rsidR="00195D54" w:rsidRPr="00F772CF" w:rsidRDefault="00195D54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50E0A" w:rsidRPr="00F772CF" w:rsidRDefault="00C50E0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50E0A" w:rsidRPr="00F772CF" w:rsidRDefault="00C50E0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195D54" w:rsidRPr="00F772CF" w:rsidRDefault="00195D54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Etki mekanizması</w:t>
      </w:r>
    </w:p>
    <w:p w:rsidR="001A4921" w:rsidRPr="00F772CF" w:rsidRDefault="00C51113" w:rsidP="0037680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MAGCAR birer antiasit olan kalsiyum karbonat ve magnezyum karbonat içermektedir. Antiasitlerin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etkinliği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gastrik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asidin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nötralizasyonuna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dayanmaktadır. Kalsiyum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karbonat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hızlı,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uzun süreli ve güçlü bir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nötralizasyon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sağlar.</w:t>
      </w:r>
      <w:r w:rsidR="00F67F1A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Bu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etki, güçlü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nötralizan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etkiye sahip bir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başka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madde olan magnezyum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karbonatın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eklenmesiyle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artmaktadır. Dolayısıyla </w:t>
      </w:r>
      <w:r w:rsidR="00376805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kalsiyum karbonat ve magnezyum karbonat kombinasyonu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hızlı </w:t>
      </w:r>
      <w:proofErr w:type="gram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nötralizasyon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sağlar.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Aç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karnına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verilen iki tablet, 5 dakika içinde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1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pH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ünitesinden fazla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artış sağlamaktadır.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CD6187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Kalsiyum karbonat ve magnezyum karbonat </w:t>
      </w:r>
      <w:proofErr w:type="gramStart"/>
      <w:r w:rsidR="00CD6187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kombinasyonu</w:t>
      </w:r>
      <w:proofErr w:type="gram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sodyum içermemesi nedeniyle, tuzsuz rejim uygulayanlar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tarafından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da uygulanabilir. </w:t>
      </w:r>
      <w:r w:rsidR="00CD6187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Kalsiyum karbonat ve magnezyum karbonat </w:t>
      </w:r>
      <w:proofErr w:type="gramStart"/>
      <w:r w:rsidR="00CD6187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kombinasyonu</w:t>
      </w:r>
      <w:proofErr w:type="gramEnd"/>
      <w:r w:rsidR="00376805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alüminyum içermez ve bu sayede, alüminyum birikimine neden olmaz.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İçerdiği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mentol sayesinde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ağızda ferahlatıcı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ve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hoş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bir tat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bırakır.</w:t>
      </w:r>
    </w:p>
    <w:p w:rsidR="00C51113" w:rsidRPr="00F772CF" w:rsidRDefault="00C51113" w:rsidP="00C51113">
      <w:pPr>
        <w:tabs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F13AE" w:rsidRPr="00F772CF" w:rsidRDefault="0088026F" w:rsidP="00DF3C22">
      <w:pPr>
        <w:tabs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5.2 </w:t>
      </w:r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Farmakokinetik özellikler </w:t>
      </w:r>
    </w:p>
    <w:p w:rsidR="005A31DF" w:rsidRPr="00F772CF" w:rsidRDefault="005A31DF" w:rsidP="00DF3C22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u w:val="single"/>
          <w:lang w:val="tr-TR"/>
        </w:rPr>
      </w:pPr>
      <w:r w:rsidRPr="00F772CF">
        <w:rPr>
          <w:rFonts w:ascii="Times New Roman" w:hAnsi="Times New Roman"/>
          <w:bCs/>
          <w:spacing w:val="0"/>
          <w:position w:val="0"/>
          <w:sz w:val="24"/>
          <w:u w:val="single"/>
          <w:lang w:val="tr-TR"/>
        </w:rPr>
        <w:t>Emilim</w:t>
      </w:r>
    </w:p>
    <w:p w:rsidR="005A31DF" w:rsidRPr="00F772CF" w:rsidRDefault="00AC5963" w:rsidP="00DF3C22">
      <w:pPr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</w:pPr>
      <w:r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 xml:space="preserve">En fazla </w:t>
      </w:r>
      <w:r w:rsidR="00A6479F"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 xml:space="preserve">% 10 </w:t>
      </w:r>
      <w:r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>k</w:t>
      </w:r>
      <w:r w:rsidR="005A31DF"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 xml:space="preserve">alsiyum ve </w:t>
      </w:r>
      <w:r w:rsidR="00A6479F"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 xml:space="preserve">% 15-20 </w:t>
      </w:r>
      <w:r w:rsidR="005A31DF"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 xml:space="preserve">magnezyum </w:t>
      </w:r>
      <w:proofErr w:type="spellStart"/>
      <w:r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>absorbe</w:t>
      </w:r>
      <w:proofErr w:type="spellEnd"/>
      <w:r w:rsidR="001A4921"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 xml:space="preserve"> </w:t>
      </w:r>
      <w:r w:rsidRPr="00F772CF">
        <w:rPr>
          <w:rFonts w:ascii="Times New Roman" w:hAnsi="Times New Roman" w:cs="Arial"/>
          <w:spacing w:val="0"/>
          <w:position w:val="0"/>
          <w:sz w:val="24"/>
          <w:szCs w:val="22"/>
          <w:lang w:val="tr-TR"/>
        </w:rPr>
        <w:t>edilebilmektedir.</w:t>
      </w:r>
    </w:p>
    <w:p w:rsidR="00CF3753" w:rsidRPr="00F772CF" w:rsidRDefault="00CF3753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u w:val="single"/>
          <w:lang w:val="tr-TR"/>
        </w:rPr>
      </w:pPr>
    </w:p>
    <w:p w:rsidR="00AC5963" w:rsidRPr="00F772CF" w:rsidRDefault="00AC5963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u w:val="single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u w:val="single"/>
          <w:lang w:val="tr-TR"/>
        </w:rPr>
        <w:t>Dağılım:</w:t>
      </w:r>
    </w:p>
    <w:p w:rsidR="00AC5963" w:rsidRPr="00F772CF" w:rsidRDefault="00AC5963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Temel antiasit etki mide asidinin nötralizasyonu yoluyla elde edilen </w:t>
      </w:r>
      <w:proofErr w:type="gram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lokal</w:t>
      </w:r>
      <w:proofErr w:type="gram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bir etki olduğundan geçerli değildir.</w:t>
      </w:r>
    </w:p>
    <w:p w:rsidR="00CF3753" w:rsidRPr="00F772CF" w:rsidRDefault="00CF3753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u w:val="single"/>
          <w:lang w:val="tr-TR"/>
        </w:rPr>
      </w:pPr>
    </w:p>
    <w:p w:rsidR="00AC5963" w:rsidRPr="00F772CF" w:rsidRDefault="00AC5963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u w:val="single"/>
          <w:lang w:val="tr-TR"/>
        </w:rPr>
      </w:pP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u w:val="single"/>
          <w:lang w:val="tr-TR"/>
        </w:rPr>
        <w:t>Biyotransformasyon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u w:val="single"/>
          <w:lang w:val="tr-TR"/>
        </w:rPr>
        <w:t>:</w:t>
      </w:r>
    </w:p>
    <w:p w:rsidR="001F0663" w:rsidRPr="00F772CF" w:rsidRDefault="00AC5963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Midede; kalsiyum ve magnezyum karbonat mide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sıvısındaki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asit ile reaksiyona girerek</w:t>
      </w:r>
      <w:r w:rsidR="001F0663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su ile çözünebilir mineral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tuzları oluşturur.</w:t>
      </w:r>
    </w:p>
    <w:p w:rsidR="00AC5963" w:rsidRPr="00F772CF" w:rsidRDefault="0077241D" w:rsidP="00DF3C22">
      <w:pPr>
        <w:tabs>
          <w:tab w:val="left" w:pos="390"/>
          <w:tab w:val="left" w:pos="708"/>
          <w:tab w:val="left" w:pos="1416"/>
          <w:tab w:val="left" w:pos="2124"/>
          <w:tab w:val="left" w:pos="2832"/>
          <w:tab w:val="left" w:pos="3540"/>
          <w:tab w:val="center" w:pos="4782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noProof/>
          <w:spacing w:val="0"/>
          <w:position w:val="0"/>
          <w:sz w:val="24"/>
          <w:szCs w:val="24"/>
          <w:lang w:val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7.4pt;margin-top:6.15pt;width:19.35pt;height:0;z-index:251658240" o:connectortype="straight">
            <v:stroke endarrow="block"/>
          </v:shape>
        </w:pict>
      </w:r>
      <w:r w:rsidR="00AC5963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CaCO</w:t>
      </w:r>
      <w:r w:rsidR="00AC5963" w:rsidRPr="00F772CF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3</w:t>
      </w:r>
      <w:r w:rsidR="00AC5963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AC5963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+</w:t>
      </w:r>
      <w:r w:rsidR="00AC5963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2HCl</w:t>
      </w:r>
      <w:r w:rsidR="00AC5963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AC5963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CaCl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2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+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H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2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+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CO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2</w:t>
      </w:r>
    </w:p>
    <w:p w:rsidR="00A01152" w:rsidRPr="00F772CF" w:rsidRDefault="0077241D" w:rsidP="00DF3C22">
      <w:pPr>
        <w:tabs>
          <w:tab w:val="left" w:pos="390"/>
          <w:tab w:val="left" w:pos="708"/>
          <w:tab w:val="left" w:pos="1416"/>
          <w:tab w:val="left" w:pos="2124"/>
          <w:tab w:val="left" w:pos="2832"/>
          <w:tab w:val="left" w:pos="3540"/>
          <w:tab w:val="center" w:pos="48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</w:pPr>
      <w:r w:rsidRPr="00F772CF">
        <w:rPr>
          <w:rFonts w:ascii="Times New Roman" w:hAnsi="Times New Roman"/>
          <w:noProof/>
          <w:spacing w:val="0"/>
          <w:position w:val="0"/>
          <w:sz w:val="24"/>
          <w:szCs w:val="24"/>
          <w:lang w:val="tr-TR"/>
        </w:rPr>
        <w:pict>
          <v:shape id="_x0000_s1027" type="#_x0000_t32" style="position:absolute;left:0;text-align:left;margin-left:177.4pt;margin-top:6.95pt;width:19.35pt;height:0;z-index:251659264" o:connectortype="straight">
            <v:stroke endarrow="block"/>
          </v:shape>
        </w:pic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MgCO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3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+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2HCl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 xml:space="preserve"> MgCl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2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+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H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2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+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CO</w:t>
      </w:r>
      <w:r w:rsidR="00A01152" w:rsidRPr="00F772CF">
        <w:rPr>
          <w:rFonts w:ascii="Times New Roman" w:hAnsi="Times New Roman"/>
          <w:spacing w:val="0"/>
          <w:position w:val="0"/>
          <w:sz w:val="24"/>
          <w:szCs w:val="24"/>
          <w:vertAlign w:val="subscript"/>
          <w:lang w:val="tr-TR"/>
        </w:rPr>
        <w:t>2</w:t>
      </w:r>
    </w:p>
    <w:p w:rsidR="001F0663" w:rsidRPr="00F772CF" w:rsidRDefault="001F0663" w:rsidP="00DF3C2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Kalsiyum ve magnezyum, bu çözünebilir tuzlardan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absorbe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edilebilir. Ancak </w:t>
      </w: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absorbsiyon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derecesi hastaya ve doza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bağlıdır.</w:t>
      </w:r>
    </w:p>
    <w:p w:rsidR="00CF3753" w:rsidRPr="00F772CF" w:rsidRDefault="00CF3753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u w:val="single"/>
          <w:lang w:val="tr-TR"/>
        </w:rPr>
      </w:pPr>
    </w:p>
    <w:p w:rsidR="001F0663" w:rsidRPr="00F772CF" w:rsidRDefault="001F0663" w:rsidP="00DF3C22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u w:val="single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u w:val="single"/>
          <w:lang w:val="tr-TR"/>
        </w:rPr>
        <w:t>Eliminasyon:</w:t>
      </w:r>
    </w:p>
    <w:p w:rsidR="001F0663" w:rsidRPr="00F772CF" w:rsidRDefault="001F0663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Absorbe</w:t>
      </w:r>
      <w:proofErr w:type="spellEnd"/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edilen küçük miktarlarda kalsiyum ve magnezyum genellikle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sağlıklı kişilerde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böbrekler yoluyla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atılır.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Böbrek fonksiyonu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bozulmuşsa,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kalsiyum ve magnezyumun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plazma </w:t>
      </w:r>
      <w:proofErr w:type="gramStart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konsantrasyonları</w:t>
      </w:r>
      <w:proofErr w:type="gramEnd"/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artabilir.</w:t>
      </w:r>
    </w:p>
    <w:p w:rsidR="001F0663" w:rsidRPr="00F772CF" w:rsidRDefault="001F0663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Mide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dışında çeşitli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sindirim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sıvılarının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etkisi nedeniyle çözülebilir tuzlar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bağırsak kanalında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çözünmeyen tuzlara çevrilmekte ve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ardından dışkı </w:t>
      </w: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yoluyla </w:t>
      </w: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atılmaktadır.</w:t>
      </w:r>
    </w:p>
    <w:p w:rsidR="00CF3753" w:rsidRPr="00F772CF" w:rsidRDefault="00CF3753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u w:val="single"/>
          <w:lang w:val="tr-TR"/>
        </w:rPr>
      </w:pPr>
    </w:p>
    <w:p w:rsidR="001F0663" w:rsidRPr="00F772CF" w:rsidRDefault="001F0663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u w:val="single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u w:val="single"/>
          <w:lang w:val="tr-TR"/>
        </w:rPr>
        <w:t>Doğrusallık/Doğrusal olmayan durum:</w:t>
      </w:r>
    </w:p>
    <w:p w:rsidR="001F0663" w:rsidRPr="00F772CF" w:rsidRDefault="001F0663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Antiasit etki için kalsiyum emilimi gerekli olmadığından doğrusal olmayan durum söz konusudur.</w:t>
      </w:r>
    </w:p>
    <w:p w:rsidR="001F0663" w:rsidRPr="00F772CF" w:rsidRDefault="001F0663" w:rsidP="00DF3C2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9F13AE" w:rsidRPr="00F772CF" w:rsidRDefault="0088026F" w:rsidP="00DF3C22">
      <w:pPr>
        <w:numPr>
          <w:ilvl w:val="1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5.3 </w:t>
      </w:r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Klinik </w:t>
      </w:r>
      <w:proofErr w:type="gramStart"/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öncesi  güvenlilik</w:t>
      </w:r>
      <w:proofErr w:type="gramEnd"/>
      <w:r w:rsidR="009F13AE"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verileri </w:t>
      </w:r>
    </w:p>
    <w:p w:rsidR="0088026F" w:rsidRPr="00F772CF" w:rsidRDefault="00376805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Kalsiyum karbonat ve magnezyum karbonat </w:t>
      </w:r>
      <w:proofErr w:type="gramStart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kombinasyonu</w:t>
      </w:r>
      <w:proofErr w:type="gramEnd"/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subakut</w:t>
      </w:r>
      <w:proofErr w:type="spellEnd"/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toksisitesiyle</w:t>
      </w:r>
      <w:proofErr w:type="spellEnd"/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ilgili olarak sıçanlarda yapılan testlerde (20 erkek ve 20 dişi sıçan) 5 ve 15</w:t>
      </w:r>
      <w:r w:rsidR="00A6479F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mg/kg/gün dozu herhangi bir </w:t>
      </w:r>
      <w:proofErr w:type="spellStart"/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toksisite</w:t>
      </w:r>
      <w:proofErr w:type="spellEnd"/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belirtisi göstermeden </w:t>
      </w:r>
      <w:proofErr w:type="spellStart"/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tolere</w:t>
      </w:r>
      <w:proofErr w:type="spellEnd"/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 xml:space="preserve"> edilmiştir. Bu d</w:t>
      </w:r>
      <w:r w:rsidR="00F67F1A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oz, insan için öngörülen dozun 1</w:t>
      </w:r>
      <w:r w:rsidR="001F0663" w:rsidRPr="00F772CF"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  <w:t>0-35 katına karşılık gelir.</w:t>
      </w:r>
    </w:p>
    <w:p w:rsidR="00C50E0A" w:rsidRPr="00F772CF" w:rsidRDefault="00C50E0A" w:rsidP="00DF3C22">
      <w:pPr>
        <w:overflowPunct/>
        <w:spacing w:line="360" w:lineRule="auto"/>
        <w:jc w:val="both"/>
        <w:textAlignment w:val="auto"/>
        <w:rPr>
          <w:rFonts w:ascii="Times New Roman" w:eastAsia="HiddenHorzOCR" w:hAnsi="Times New Roman"/>
          <w:spacing w:val="0"/>
          <w:kern w:val="0"/>
          <w:position w:val="0"/>
          <w:sz w:val="24"/>
          <w:szCs w:val="24"/>
          <w:lang w:val="tr-TR"/>
        </w:rPr>
      </w:pPr>
    </w:p>
    <w:p w:rsidR="0088026F" w:rsidRPr="00F772CF" w:rsidRDefault="0088026F" w:rsidP="00DF3C22">
      <w:pPr>
        <w:tabs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6. </w:t>
      </w:r>
      <w:r w:rsidRPr="00F772CF">
        <w:rPr>
          <w:rFonts w:ascii="Times New Roman" w:hAnsi="Times New Roman"/>
          <w:b/>
          <w:spacing w:val="0"/>
          <w:kern w:val="0"/>
          <w:position w:val="0"/>
          <w:sz w:val="24"/>
          <w:szCs w:val="24"/>
          <w:lang w:val="tr-TR"/>
        </w:rPr>
        <w:t>FARMASÖTİK</w:t>
      </w: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ÖZELLİKLER</w:t>
      </w:r>
    </w:p>
    <w:p w:rsidR="0088026F" w:rsidRPr="00F772CF" w:rsidRDefault="0088026F" w:rsidP="00DF3C22">
      <w:pPr>
        <w:numPr>
          <w:ilvl w:val="1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6.1 Yardımcı maddelerin listesi</w:t>
      </w:r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Mısır Nişastası</w:t>
      </w:r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Prejelatinize</w:t>
      </w:r>
      <w:proofErr w:type="spellEnd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Nişasta</w:t>
      </w:r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Şeker</w:t>
      </w:r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Likit Parafin</w:t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Toz nane </w:t>
      </w:r>
      <w:proofErr w:type="gramStart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aroması</w:t>
      </w:r>
      <w:proofErr w:type="gramEnd"/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Toz limon </w:t>
      </w:r>
      <w:proofErr w:type="gramStart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aroması</w:t>
      </w:r>
      <w:proofErr w:type="gramEnd"/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Talk</w:t>
      </w:r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Magnezyum </w:t>
      </w:r>
      <w:proofErr w:type="spellStart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stearat</w:t>
      </w:r>
      <w:proofErr w:type="spellEnd"/>
    </w:p>
    <w:p w:rsidR="0088026F" w:rsidRPr="00F772CF" w:rsidRDefault="0088026F" w:rsidP="00DF3C22">
      <w:pPr>
        <w:tabs>
          <w:tab w:val="left" w:pos="684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88026F" w:rsidRPr="00F772CF" w:rsidRDefault="0088026F" w:rsidP="00DF3C22">
      <w:pPr>
        <w:numPr>
          <w:ilvl w:val="1"/>
          <w:numId w:val="1"/>
        </w:num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6.2 Geçimsizlikler</w:t>
      </w:r>
    </w:p>
    <w:p w:rsidR="0088026F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</w:rPr>
      </w:pPr>
      <w:proofErr w:type="spellStart"/>
      <w:proofErr w:type="gramStart"/>
      <w:r w:rsidRPr="00F772CF">
        <w:rPr>
          <w:rFonts w:ascii="Times New Roman" w:hAnsi="Times New Roman"/>
          <w:spacing w:val="0"/>
          <w:position w:val="0"/>
          <w:sz w:val="24"/>
        </w:rPr>
        <w:t>Yoktur</w:t>
      </w:r>
      <w:proofErr w:type="spellEnd"/>
      <w:r w:rsidRPr="00F772CF">
        <w:rPr>
          <w:rFonts w:ascii="Times New Roman" w:hAnsi="Times New Roman"/>
          <w:spacing w:val="0"/>
          <w:position w:val="0"/>
          <w:sz w:val="24"/>
        </w:rPr>
        <w:t>.</w:t>
      </w:r>
      <w:proofErr w:type="gramEnd"/>
    </w:p>
    <w:p w:rsidR="0088026F" w:rsidRPr="00F772CF" w:rsidRDefault="0088026F" w:rsidP="00DF3C22">
      <w:pPr>
        <w:tabs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88026F" w:rsidRPr="00F772CF" w:rsidRDefault="0088026F" w:rsidP="00DF3C22">
      <w:p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6.3</w:t>
      </w:r>
      <w:r w:rsidRPr="00F772C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ab/>
      </w: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Raf ömrü</w:t>
      </w:r>
    </w:p>
    <w:p w:rsidR="0088026F" w:rsidRPr="00F772CF" w:rsidRDefault="007136F4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</w:rPr>
      </w:pPr>
      <w:r w:rsidRPr="00F772CF">
        <w:rPr>
          <w:rFonts w:ascii="Times New Roman" w:hAnsi="Times New Roman"/>
          <w:spacing w:val="0"/>
          <w:position w:val="0"/>
          <w:sz w:val="24"/>
        </w:rPr>
        <w:t>36</w:t>
      </w:r>
      <w:r w:rsidR="0088026F" w:rsidRPr="00F772CF">
        <w:rPr>
          <w:rFonts w:ascii="Times New Roman" w:hAnsi="Times New Roman"/>
          <w:spacing w:val="0"/>
          <w:position w:val="0"/>
          <w:sz w:val="24"/>
        </w:rPr>
        <w:t xml:space="preserve"> ay</w:t>
      </w:r>
    </w:p>
    <w:p w:rsidR="0088026F" w:rsidRPr="00F772CF" w:rsidRDefault="0088026F" w:rsidP="00DF3C22">
      <w:p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88026F" w:rsidRPr="00F772CF" w:rsidRDefault="0088026F" w:rsidP="00DF3C2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6</w:t>
      </w: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.4 Saklamaya yönelik özel uyarılar</w:t>
      </w:r>
    </w:p>
    <w:p w:rsidR="0088026F" w:rsidRPr="00F772CF" w:rsidRDefault="0088026F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</w:rPr>
      </w:pPr>
      <w:proofErr w:type="gramStart"/>
      <w:r w:rsidRPr="00F772CF">
        <w:rPr>
          <w:rFonts w:ascii="Times New Roman" w:hAnsi="Times New Roman"/>
          <w:spacing w:val="0"/>
          <w:position w:val="0"/>
          <w:sz w:val="24"/>
        </w:rPr>
        <w:t xml:space="preserve">25°C’nin </w:t>
      </w:r>
      <w:proofErr w:type="spellStart"/>
      <w:r w:rsidRPr="00F772CF">
        <w:rPr>
          <w:rFonts w:ascii="Times New Roman" w:hAnsi="Times New Roman"/>
          <w:spacing w:val="0"/>
          <w:position w:val="0"/>
          <w:sz w:val="24"/>
        </w:rPr>
        <w:t>altındaki</w:t>
      </w:r>
      <w:proofErr w:type="spellEnd"/>
      <w:r w:rsidRPr="00F772CF">
        <w:rPr>
          <w:rFonts w:ascii="Times New Roman" w:hAnsi="Times New Roman"/>
          <w:spacing w:val="0"/>
          <w:position w:val="0"/>
          <w:sz w:val="24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position w:val="0"/>
          <w:sz w:val="24"/>
        </w:rPr>
        <w:t>oda</w:t>
      </w:r>
      <w:proofErr w:type="spellEnd"/>
      <w:r w:rsidRPr="00F772CF">
        <w:rPr>
          <w:rFonts w:ascii="Times New Roman" w:hAnsi="Times New Roman"/>
          <w:spacing w:val="0"/>
          <w:position w:val="0"/>
          <w:sz w:val="24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position w:val="0"/>
          <w:sz w:val="24"/>
        </w:rPr>
        <w:t>sıcaklığında</w:t>
      </w:r>
      <w:proofErr w:type="spellEnd"/>
      <w:r w:rsidRPr="00F772CF">
        <w:rPr>
          <w:rFonts w:ascii="Times New Roman" w:hAnsi="Times New Roman"/>
          <w:spacing w:val="0"/>
          <w:position w:val="0"/>
          <w:sz w:val="24"/>
        </w:rPr>
        <w:t xml:space="preserve"> </w:t>
      </w:r>
      <w:proofErr w:type="spellStart"/>
      <w:r w:rsidRPr="00F772CF">
        <w:rPr>
          <w:rFonts w:ascii="Times New Roman" w:hAnsi="Times New Roman"/>
          <w:spacing w:val="0"/>
          <w:position w:val="0"/>
          <w:sz w:val="24"/>
        </w:rPr>
        <w:t>saklayınız</w:t>
      </w:r>
      <w:proofErr w:type="spellEnd"/>
      <w:r w:rsidRPr="00F772CF">
        <w:rPr>
          <w:rFonts w:ascii="Times New Roman" w:hAnsi="Times New Roman"/>
          <w:spacing w:val="0"/>
          <w:position w:val="0"/>
          <w:sz w:val="24"/>
        </w:rPr>
        <w:t>.</w:t>
      </w:r>
      <w:proofErr w:type="gramEnd"/>
      <w:r w:rsidRPr="00F772CF">
        <w:rPr>
          <w:rFonts w:ascii="Times New Roman" w:hAnsi="Times New Roman"/>
          <w:spacing w:val="0"/>
          <w:position w:val="0"/>
          <w:sz w:val="24"/>
        </w:rPr>
        <w:t xml:space="preserve"> </w:t>
      </w:r>
    </w:p>
    <w:p w:rsidR="0088026F" w:rsidRPr="00F772CF" w:rsidRDefault="0088026F" w:rsidP="00DF3C2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</w:p>
    <w:p w:rsidR="0088026F" w:rsidRPr="00F772CF" w:rsidRDefault="0088026F" w:rsidP="00DF3C22">
      <w:pPr>
        <w:numPr>
          <w:ilvl w:val="1"/>
          <w:numId w:val="2"/>
        </w:numPr>
        <w:tabs>
          <w:tab w:val="clear" w:pos="720"/>
          <w:tab w:val="num" w:pos="0"/>
          <w:tab w:val="left" w:pos="390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Ambalajın niteliği ve içeriği</w:t>
      </w: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Bir yüzü şeffaf PVC/PVDC, diğer yüzü üzeri baskılı alüminyum folyo kaplı, 12 tabletlik </w:t>
      </w:r>
      <w:proofErr w:type="spellStart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blisterler</w:t>
      </w:r>
      <w:proofErr w:type="spellEnd"/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D46CFA" w:rsidRPr="00F772CF" w:rsidRDefault="00D46CFA" w:rsidP="00DF3C2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karton kutu 48 tablet içermektedir.</w:t>
      </w:r>
    </w:p>
    <w:p w:rsidR="0088026F" w:rsidRPr="00F772CF" w:rsidRDefault="0088026F" w:rsidP="00DF3C22">
      <w:pPr>
        <w:tabs>
          <w:tab w:val="left" w:pos="390"/>
        </w:tabs>
        <w:spacing w:line="360" w:lineRule="auto"/>
        <w:ind w:left="36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88026F" w:rsidRPr="00F772CF" w:rsidRDefault="0088026F" w:rsidP="00DF3C22">
      <w:pPr>
        <w:numPr>
          <w:ilvl w:val="1"/>
          <w:numId w:val="2"/>
        </w:numPr>
        <w:tabs>
          <w:tab w:val="num" w:pos="0"/>
          <w:tab w:val="left" w:pos="390"/>
        </w:tabs>
        <w:spacing w:line="360" w:lineRule="auto"/>
        <w:ind w:left="0" w:firstLine="0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Beşeri tıbbi üründen arta kalan maddelerin imhası ve diğer özel önlemler</w:t>
      </w:r>
    </w:p>
    <w:p w:rsidR="00195D54" w:rsidRPr="00F772CF" w:rsidRDefault="00195D54" w:rsidP="00DF3C22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Kullanılmamış olan ürünler ya da atık materyaller “Tıbbi Atıkların Kontrolü Yönetmeliği” ve “Ambalaj ve Ambalaj Atıklarının Kontrolü Yönetmelikleri”ne uygun olarak imha edilmelidir.</w:t>
      </w:r>
    </w:p>
    <w:p w:rsidR="00532511" w:rsidRPr="00F772CF" w:rsidRDefault="00532511" w:rsidP="00DF3C22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4C1A6A" w:rsidRPr="00F772CF" w:rsidRDefault="0088026F">
      <w:pPr>
        <w:numPr>
          <w:ilvl w:val="0"/>
          <w:numId w:val="10"/>
        </w:numPr>
        <w:tabs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RUHSAT SAHİBİ </w:t>
      </w:r>
    </w:p>
    <w:p w:rsidR="0088026F" w:rsidRPr="00F772CF" w:rsidRDefault="0088026F" w:rsidP="00DF3C22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sz w:val="24"/>
          <w:szCs w:val="24"/>
          <w:lang w:val="tr-TR"/>
        </w:rPr>
        <w:t>Deva Holding A.Ş.</w:t>
      </w:r>
    </w:p>
    <w:p w:rsidR="0088026F" w:rsidRPr="00F772CF" w:rsidRDefault="0088026F" w:rsidP="00DF3C22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sz w:val="24"/>
          <w:szCs w:val="24"/>
          <w:lang w:val="tr-TR"/>
        </w:rPr>
        <w:t>Halkalı Merkez Mah. Basın Ekspres Cad.</w:t>
      </w:r>
    </w:p>
    <w:p w:rsidR="0088026F" w:rsidRPr="00F772CF" w:rsidRDefault="0088026F" w:rsidP="00DF3C22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sz w:val="24"/>
          <w:szCs w:val="24"/>
          <w:lang w:val="tr-TR"/>
        </w:rPr>
        <w:t>No:</w:t>
      </w:r>
      <w:proofErr w:type="gramStart"/>
      <w:r w:rsidRPr="00F772CF">
        <w:rPr>
          <w:rFonts w:ascii="Times New Roman" w:hAnsi="Times New Roman"/>
          <w:spacing w:val="0"/>
          <w:sz w:val="24"/>
          <w:szCs w:val="24"/>
          <w:lang w:val="tr-TR"/>
        </w:rPr>
        <w:t>1  34303</w:t>
      </w:r>
      <w:proofErr w:type="gramEnd"/>
      <w:r w:rsidRPr="00F772CF">
        <w:rPr>
          <w:rFonts w:ascii="Times New Roman" w:hAnsi="Times New Roman"/>
          <w:spacing w:val="0"/>
          <w:sz w:val="24"/>
          <w:szCs w:val="24"/>
          <w:lang w:val="tr-TR"/>
        </w:rPr>
        <w:t xml:space="preserve">  Küçükçekmece-İSTANBUL</w:t>
      </w:r>
    </w:p>
    <w:p w:rsidR="0088026F" w:rsidRPr="00F772CF" w:rsidRDefault="0088026F" w:rsidP="00DF3C22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sz w:val="24"/>
          <w:szCs w:val="24"/>
          <w:lang w:val="tr-TR"/>
        </w:rPr>
        <w:t xml:space="preserve">Tel:    0212 692 92 </w:t>
      </w:r>
      <w:proofErr w:type="spellStart"/>
      <w:r w:rsidRPr="00F772CF">
        <w:rPr>
          <w:rFonts w:ascii="Times New Roman" w:hAnsi="Times New Roman"/>
          <w:spacing w:val="0"/>
          <w:sz w:val="24"/>
          <w:szCs w:val="24"/>
          <w:lang w:val="tr-TR"/>
        </w:rPr>
        <w:t>92</w:t>
      </w:r>
      <w:proofErr w:type="spellEnd"/>
    </w:p>
    <w:p w:rsidR="0088026F" w:rsidRPr="00F772CF" w:rsidRDefault="0088026F" w:rsidP="00DF3C22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sz w:val="24"/>
          <w:szCs w:val="24"/>
          <w:lang w:val="tr-TR"/>
        </w:rPr>
        <w:t xml:space="preserve">Faks: 0212 697 00 24 </w:t>
      </w:r>
    </w:p>
    <w:p w:rsidR="004C1A6A" w:rsidRPr="00F772CF" w:rsidRDefault="0088026F">
      <w:pPr>
        <w:numPr>
          <w:ilvl w:val="0"/>
          <w:numId w:val="10"/>
        </w:numPr>
        <w:tabs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RUHSAT NUMARASI</w:t>
      </w:r>
    </w:p>
    <w:p w:rsidR="0088026F" w:rsidRPr="00F772CF" w:rsidRDefault="0088026F" w:rsidP="00DF3C22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210/ 26</w:t>
      </w:r>
    </w:p>
    <w:p w:rsidR="001A4921" w:rsidRPr="00F772CF" w:rsidRDefault="001A4921" w:rsidP="00DF3C22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4C1A6A" w:rsidRPr="00F772CF" w:rsidRDefault="0088026F">
      <w:pPr>
        <w:numPr>
          <w:ilvl w:val="0"/>
          <w:numId w:val="10"/>
        </w:numPr>
        <w:tabs>
          <w:tab w:val="left" w:pos="39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İLK RUHSAT TARİHİ/ RUHSAT YENİLEME TARİHİ </w:t>
      </w:r>
    </w:p>
    <w:p w:rsidR="0088026F" w:rsidRPr="00F772CF" w:rsidRDefault="001F0663" w:rsidP="00DF3C22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İlk Ruhsat</w:t>
      </w:r>
      <w:r w:rsidR="00D46CFA"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Tarihi: </w:t>
      </w:r>
      <w:r w:rsidR="0088026F"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29.12.2006</w:t>
      </w:r>
    </w:p>
    <w:p w:rsidR="00D46CFA" w:rsidRPr="00F772CF" w:rsidRDefault="001F0663" w:rsidP="00DF3C22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Son yenileme tarihi:</w:t>
      </w:r>
    </w:p>
    <w:p w:rsidR="001F0663" w:rsidRPr="00F772CF" w:rsidRDefault="001F0663" w:rsidP="00DF3C22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88026F" w:rsidRPr="00F772CF" w:rsidRDefault="0088026F" w:rsidP="00DF3C22">
      <w:pPr>
        <w:tabs>
          <w:tab w:val="num" w:pos="0"/>
          <w:tab w:val="left" w:pos="3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10.  KÜB’ÜN YENİLENME TARİHİ </w:t>
      </w:r>
    </w:p>
    <w:p w:rsidR="0088026F" w:rsidRPr="00F772CF" w:rsidRDefault="00F23CBD" w:rsidP="00DF3C22">
      <w:pPr>
        <w:tabs>
          <w:tab w:val="num" w:pos="0"/>
          <w:tab w:val="left" w:pos="39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F772CF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10.04.2013</w:t>
      </w:r>
    </w:p>
    <w:sectPr w:rsidR="0088026F" w:rsidRPr="00F772CF" w:rsidSect="00FD271D">
      <w:footerReference w:type="default" r:id="rId8"/>
      <w:pgSz w:w="11906" w:h="16838" w:code="9"/>
      <w:pgMar w:top="1417" w:right="92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BD" w:rsidRDefault="00F23CBD">
      <w:r>
        <w:separator/>
      </w:r>
    </w:p>
  </w:endnote>
  <w:endnote w:type="continuationSeparator" w:id="0">
    <w:p w:rsidR="00F23CBD" w:rsidRDefault="00F2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Ind w:w="-179" w:type="dxa"/>
      <w:tblLayout w:type="fixed"/>
      <w:tblCellMar>
        <w:left w:w="70" w:type="dxa"/>
        <w:right w:w="70" w:type="dxa"/>
      </w:tblCellMar>
      <w:tblLook w:val="0000"/>
    </w:tblPr>
    <w:tblGrid>
      <w:gridCol w:w="9778"/>
    </w:tblGrid>
    <w:tr w:rsidR="00F23CBD" w:rsidRPr="00D0258E">
      <w:tc>
        <w:tcPr>
          <w:tcW w:w="9778" w:type="dxa"/>
          <w:tcBorders>
            <w:top w:val="single" w:sz="6" w:space="0" w:color="auto"/>
          </w:tcBorders>
        </w:tcPr>
        <w:p w:rsidR="00F23CBD" w:rsidRPr="00D0258E" w:rsidRDefault="00F23CBD" w:rsidP="00512C82">
          <w:pPr>
            <w:pStyle w:val="Altbilgi"/>
            <w:jc w:val="right"/>
            <w:rPr>
              <w:rFonts w:ascii="Times New Roman" w:hAnsi="Times New Roman"/>
              <w:spacing w:val="0"/>
              <w:szCs w:val="22"/>
              <w:lang w:val="tr-TR"/>
            </w:rPr>
          </w:pPr>
          <w:r w:rsidRPr="00D0258E">
            <w:rPr>
              <w:rFonts w:ascii="Times New Roman" w:hAnsi="Times New Roman"/>
              <w:spacing w:val="0"/>
              <w:szCs w:val="22"/>
              <w:lang w:val="tr-TR"/>
            </w:rPr>
            <w:t xml:space="preserve">                                                                                                              </w:t>
          </w:r>
          <w:r>
            <w:rPr>
              <w:rFonts w:ascii="Times New Roman" w:hAnsi="Times New Roman"/>
              <w:spacing w:val="0"/>
              <w:szCs w:val="22"/>
              <w:lang w:val="tr-TR"/>
            </w:rPr>
            <w:t xml:space="preserve">                                                </w:t>
          </w:r>
          <w:r w:rsidR="0077241D" w:rsidRPr="00D0258E">
            <w:rPr>
              <w:rFonts w:ascii="Times New Roman" w:hAnsi="Times New Roman"/>
              <w:spacing w:val="0"/>
              <w:szCs w:val="22"/>
              <w:lang w:val="tr-TR"/>
            </w:rPr>
            <w:fldChar w:fldCharType="begin"/>
          </w:r>
          <w:r w:rsidRPr="00D0258E">
            <w:rPr>
              <w:rFonts w:ascii="Times New Roman" w:hAnsi="Times New Roman"/>
              <w:spacing w:val="0"/>
              <w:szCs w:val="22"/>
              <w:lang w:val="tr-TR"/>
            </w:rPr>
            <w:instrText xml:space="preserve"> PAGE </w:instrText>
          </w:r>
          <w:r w:rsidR="0077241D" w:rsidRPr="00D0258E">
            <w:rPr>
              <w:rFonts w:ascii="Times New Roman" w:hAnsi="Times New Roman"/>
              <w:spacing w:val="0"/>
              <w:szCs w:val="22"/>
              <w:lang w:val="tr-TR"/>
            </w:rPr>
            <w:fldChar w:fldCharType="separate"/>
          </w:r>
          <w:r w:rsidR="00F772CF">
            <w:rPr>
              <w:rFonts w:ascii="Times New Roman" w:hAnsi="Times New Roman"/>
              <w:noProof/>
              <w:spacing w:val="0"/>
              <w:szCs w:val="22"/>
              <w:lang w:val="tr-TR"/>
            </w:rPr>
            <w:t>5</w:t>
          </w:r>
          <w:r w:rsidR="0077241D" w:rsidRPr="00D0258E">
            <w:rPr>
              <w:rFonts w:ascii="Times New Roman" w:hAnsi="Times New Roman"/>
              <w:spacing w:val="0"/>
              <w:szCs w:val="22"/>
              <w:lang w:val="tr-TR"/>
            </w:rPr>
            <w:fldChar w:fldCharType="end"/>
          </w:r>
          <w:r w:rsidRPr="00D0258E">
            <w:rPr>
              <w:rFonts w:ascii="Times New Roman" w:hAnsi="Times New Roman"/>
              <w:spacing w:val="0"/>
              <w:szCs w:val="22"/>
              <w:lang w:val="tr-TR"/>
            </w:rPr>
            <w:t xml:space="preserve"> /</w:t>
          </w:r>
          <w:r>
            <w:rPr>
              <w:rFonts w:ascii="Times New Roman" w:hAnsi="Times New Roman"/>
              <w:spacing w:val="0"/>
              <w:szCs w:val="22"/>
              <w:lang w:val="tr-TR"/>
            </w:rPr>
            <w:t xml:space="preserve"> </w:t>
          </w:r>
          <w:r w:rsidR="0077241D" w:rsidRPr="00D0258E">
            <w:rPr>
              <w:rFonts w:ascii="Times New Roman" w:hAnsi="Times New Roman"/>
              <w:spacing w:val="0"/>
              <w:szCs w:val="22"/>
              <w:lang w:val="tr-TR"/>
            </w:rPr>
            <w:fldChar w:fldCharType="begin"/>
          </w:r>
          <w:r w:rsidRPr="00D0258E">
            <w:rPr>
              <w:rFonts w:ascii="Times New Roman" w:hAnsi="Times New Roman"/>
              <w:spacing w:val="0"/>
              <w:szCs w:val="22"/>
              <w:lang w:val="tr-TR"/>
            </w:rPr>
            <w:instrText xml:space="preserve"> NUMPAGES </w:instrText>
          </w:r>
          <w:r w:rsidR="0077241D" w:rsidRPr="00D0258E">
            <w:rPr>
              <w:rFonts w:ascii="Times New Roman" w:hAnsi="Times New Roman"/>
              <w:spacing w:val="0"/>
              <w:szCs w:val="22"/>
              <w:lang w:val="tr-TR"/>
            </w:rPr>
            <w:fldChar w:fldCharType="separate"/>
          </w:r>
          <w:r w:rsidR="00F772CF">
            <w:rPr>
              <w:rFonts w:ascii="Times New Roman" w:hAnsi="Times New Roman"/>
              <w:noProof/>
              <w:spacing w:val="0"/>
              <w:szCs w:val="22"/>
              <w:lang w:val="tr-TR"/>
            </w:rPr>
            <w:t>9</w:t>
          </w:r>
          <w:r w:rsidR="0077241D" w:rsidRPr="00D0258E">
            <w:rPr>
              <w:rFonts w:ascii="Times New Roman" w:hAnsi="Times New Roman"/>
              <w:spacing w:val="0"/>
              <w:szCs w:val="22"/>
              <w:lang w:val="tr-TR"/>
            </w:rPr>
            <w:fldChar w:fldCharType="end"/>
          </w:r>
        </w:p>
      </w:tc>
    </w:tr>
  </w:tbl>
  <w:p w:rsidR="00F23CBD" w:rsidRDefault="00F23C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BD" w:rsidRDefault="00F23CBD">
      <w:r>
        <w:separator/>
      </w:r>
    </w:p>
  </w:footnote>
  <w:footnote w:type="continuationSeparator" w:id="0">
    <w:p w:rsidR="00F23CBD" w:rsidRDefault="00F2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74B"/>
    <w:multiLevelType w:val="hybridMultilevel"/>
    <w:tmpl w:val="B4C21A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C7787"/>
    <w:multiLevelType w:val="hybridMultilevel"/>
    <w:tmpl w:val="87AC4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34091"/>
    <w:multiLevelType w:val="hybridMultilevel"/>
    <w:tmpl w:val="6A965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116C"/>
    <w:multiLevelType w:val="hybridMultilevel"/>
    <w:tmpl w:val="19DA2D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C4EC5"/>
    <w:multiLevelType w:val="multilevel"/>
    <w:tmpl w:val="F5A208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>
    <w:nsid w:val="1EBE124C"/>
    <w:multiLevelType w:val="hybridMultilevel"/>
    <w:tmpl w:val="D3142090"/>
    <w:lvl w:ilvl="0" w:tplc="88BAD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993ACE98">
      <w:numFmt w:val="none"/>
      <w:lvlText w:val=""/>
      <w:lvlJc w:val="left"/>
      <w:pPr>
        <w:tabs>
          <w:tab w:val="num" w:pos="360"/>
        </w:tabs>
      </w:pPr>
    </w:lvl>
    <w:lvl w:ilvl="2" w:tplc="2CB8DFE2">
      <w:numFmt w:val="none"/>
      <w:lvlText w:val=""/>
      <w:lvlJc w:val="left"/>
      <w:pPr>
        <w:tabs>
          <w:tab w:val="num" w:pos="360"/>
        </w:tabs>
      </w:pPr>
    </w:lvl>
    <w:lvl w:ilvl="3" w:tplc="691609FA">
      <w:numFmt w:val="none"/>
      <w:lvlText w:val=""/>
      <w:lvlJc w:val="left"/>
      <w:pPr>
        <w:tabs>
          <w:tab w:val="num" w:pos="360"/>
        </w:tabs>
      </w:pPr>
    </w:lvl>
    <w:lvl w:ilvl="4" w:tplc="2074433E">
      <w:numFmt w:val="none"/>
      <w:lvlText w:val=""/>
      <w:lvlJc w:val="left"/>
      <w:pPr>
        <w:tabs>
          <w:tab w:val="num" w:pos="360"/>
        </w:tabs>
      </w:pPr>
    </w:lvl>
    <w:lvl w:ilvl="5" w:tplc="FB14F358">
      <w:numFmt w:val="none"/>
      <w:lvlText w:val=""/>
      <w:lvlJc w:val="left"/>
      <w:pPr>
        <w:tabs>
          <w:tab w:val="num" w:pos="360"/>
        </w:tabs>
      </w:pPr>
    </w:lvl>
    <w:lvl w:ilvl="6" w:tplc="2FDA0602">
      <w:numFmt w:val="none"/>
      <w:lvlText w:val=""/>
      <w:lvlJc w:val="left"/>
      <w:pPr>
        <w:tabs>
          <w:tab w:val="num" w:pos="360"/>
        </w:tabs>
      </w:pPr>
    </w:lvl>
    <w:lvl w:ilvl="7" w:tplc="DB40E884">
      <w:numFmt w:val="none"/>
      <w:lvlText w:val=""/>
      <w:lvlJc w:val="left"/>
      <w:pPr>
        <w:tabs>
          <w:tab w:val="num" w:pos="360"/>
        </w:tabs>
      </w:pPr>
    </w:lvl>
    <w:lvl w:ilvl="8" w:tplc="8D6A8C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7A3600"/>
    <w:multiLevelType w:val="hybridMultilevel"/>
    <w:tmpl w:val="9DB6F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26B09"/>
    <w:multiLevelType w:val="multilevel"/>
    <w:tmpl w:val="3852F2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>
    <w:nsid w:val="3A877B22"/>
    <w:multiLevelType w:val="hybridMultilevel"/>
    <w:tmpl w:val="23A6F7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8E6A6"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955EE"/>
    <w:multiLevelType w:val="hybridMultilevel"/>
    <w:tmpl w:val="8500D4E2"/>
    <w:lvl w:ilvl="0" w:tplc="CBC6DF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50AEF"/>
    <w:multiLevelType w:val="hybridMultilevel"/>
    <w:tmpl w:val="6CEC28CE"/>
    <w:lvl w:ilvl="0" w:tplc="041F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>
    <w:nsid w:val="7A7F317B"/>
    <w:multiLevelType w:val="hybridMultilevel"/>
    <w:tmpl w:val="0A8E52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14"/>
    <w:rsid w:val="00011F7C"/>
    <w:rsid w:val="00035A5C"/>
    <w:rsid w:val="00060EC4"/>
    <w:rsid w:val="000613D2"/>
    <w:rsid w:val="0009548B"/>
    <w:rsid w:val="00096ADB"/>
    <w:rsid w:val="000A64C5"/>
    <w:rsid w:val="000B05B9"/>
    <w:rsid w:val="000B1942"/>
    <w:rsid w:val="000D2C9A"/>
    <w:rsid w:val="000D7A00"/>
    <w:rsid w:val="000E3C27"/>
    <w:rsid w:val="000F254F"/>
    <w:rsid w:val="0015598F"/>
    <w:rsid w:val="00164645"/>
    <w:rsid w:val="00184D0E"/>
    <w:rsid w:val="0018567D"/>
    <w:rsid w:val="00195D54"/>
    <w:rsid w:val="001A4921"/>
    <w:rsid w:val="001A5522"/>
    <w:rsid w:val="001B3726"/>
    <w:rsid w:val="001D2A91"/>
    <w:rsid w:val="001D2CCF"/>
    <w:rsid w:val="001F0663"/>
    <w:rsid w:val="00213B2E"/>
    <w:rsid w:val="002151A5"/>
    <w:rsid w:val="00221EA3"/>
    <w:rsid w:val="00232DEC"/>
    <w:rsid w:val="002331BC"/>
    <w:rsid w:val="0024043B"/>
    <w:rsid w:val="002536F0"/>
    <w:rsid w:val="00256224"/>
    <w:rsid w:val="002612A2"/>
    <w:rsid w:val="00266FDB"/>
    <w:rsid w:val="0026711E"/>
    <w:rsid w:val="002D1171"/>
    <w:rsid w:val="002D14A7"/>
    <w:rsid w:val="002D48A7"/>
    <w:rsid w:val="002F39FD"/>
    <w:rsid w:val="00332425"/>
    <w:rsid w:val="003445EE"/>
    <w:rsid w:val="0034515C"/>
    <w:rsid w:val="00356B2B"/>
    <w:rsid w:val="00376805"/>
    <w:rsid w:val="00377119"/>
    <w:rsid w:val="0037778D"/>
    <w:rsid w:val="003A50A8"/>
    <w:rsid w:val="003D0F75"/>
    <w:rsid w:val="003E0C7E"/>
    <w:rsid w:val="0041097B"/>
    <w:rsid w:val="00427D58"/>
    <w:rsid w:val="00434532"/>
    <w:rsid w:val="00447A26"/>
    <w:rsid w:val="00470299"/>
    <w:rsid w:val="004713B9"/>
    <w:rsid w:val="00473C4D"/>
    <w:rsid w:val="00481F5F"/>
    <w:rsid w:val="004B730E"/>
    <w:rsid w:val="004C1A6A"/>
    <w:rsid w:val="004F6E94"/>
    <w:rsid w:val="00512C82"/>
    <w:rsid w:val="00516523"/>
    <w:rsid w:val="005169E3"/>
    <w:rsid w:val="0052228D"/>
    <w:rsid w:val="005233A2"/>
    <w:rsid w:val="0052728B"/>
    <w:rsid w:val="00532511"/>
    <w:rsid w:val="005376E0"/>
    <w:rsid w:val="00541700"/>
    <w:rsid w:val="00541C3D"/>
    <w:rsid w:val="005A31DF"/>
    <w:rsid w:val="005A4E49"/>
    <w:rsid w:val="005C135A"/>
    <w:rsid w:val="005E43ED"/>
    <w:rsid w:val="005E4911"/>
    <w:rsid w:val="005F259A"/>
    <w:rsid w:val="005F39C2"/>
    <w:rsid w:val="00600D14"/>
    <w:rsid w:val="00626348"/>
    <w:rsid w:val="0065565E"/>
    <w:rsid w:val="00670FB5"/>
    <w:rsid w:val="00672533"/>
    <w:rsid w:val="00682EBD"/>
    <w:rsid w:val="006A61D9"/>
    <w:rsid w:val="006A7134"/>
    <w:rsid w:val="006F446F"/>
    <w:rsid w:val="006F48FB"/>
    <w:rsid w:val="007136F4"/>
    <w:rsid w:val="00726163"/>
    <w:rsid w:val="00731F76"/>
    <w:rsid w:val="0076370A"/>
    <w:rsid w:val="007664C7"/>
    <w:rsid w:val="0077241D"/>
    <w:rsid w:val="00794D3B"/>
    <w:rsid w:val="007D61E5"/>
    <w:rsid w:val="007E6AD5"/>
    <w:rsid w:val="0080060F"/>
    <w:rsid w:val="00810858"/>
    <w:rsid w:val="008213B0"/>
    <w:rsid w:val="0087449D"/>
    <w:rsid w:val="0088026F"/>
    <w:rsid w:val="00884B42"/>
    <w:rsid w:val="008D557E"/>
    <w:rsid w:val="008F6724"/>
    <w:rsid w:val="00917FF1"/>
    <w:rsid w:val="00931053"/>
    <w:rsid w:val="00934680"/>
    <w:rsid w:val="00944A31"/>
    <w:rsid w:val="00954449"/>
    <w:rsid w:val="009949C5"/>
    <w:rsid w:val="009C7F77"/>
    <w:rsid w:val="009D7992"/>
    <w:rsid w:val="009E165E"/>
    <w:rsid w:val="009E5FB9"/>
    <w:rsid w:val="009E7752"/>
    <w:rsid w:val="009F13AE"/>
    <w:rsid w:val="009F37CA"/>
    <w:rsid w:val="00A01152"/>
    <w:rsid w:val="00A03687"/>
    <w:rsid w:val="00A12360"/>
    <w:rsid w:val="00A163B0"/>
    <w:rsid w:val="00A16647"/>
    <w:rsid w:val="00A432FF"/>
    <w:rsid w:val="00A52013"/>
    <w:rsid w:val="00A6326B"/>
    <w:rsid w:val="00A6479F"/>
    <w:rsid w:val="00A82960"/>
    <w:rsid w:val="00AA43F8"/>
    <w:rsid w:val="00AB0FDF"/>
    <w:rsid w:val="00AC5963"/>
    <w:rsid w:val="00AD7946"/>
    <w:rsid w:val="00AE42CE"/>
    <w:rsid w:val="00AF096B"/>
    <w:rsid w:val="00AF25A5"/>
    <w:rsid w:val="00AF4D98"/>
    <w:rsid w:val="00B03F0F"/>
    <w:rsid w:val="00B1769A"/>
    <w:rsid w:val="00B55EB7"/>
    <w:rsid w:val="00BA3AE9"/>
    <w:rsid w:val="00BB6388"/>
    <w:rsid w:val="00BC1A9C"/>
    <w:rsid w:val="00BF4A39"/>
    <w:rsid w:val="00BF6D55"/>
    <w:rsid w:val="00C30942"/>
    <w:rsid w:val="00C34172"/>
    <w:rsid w:val="00C34BB3"/>
    <w:rsid w:val="00C50426"/>
    <w:rsid w:val="00C5078B"/>
    <w:rsid w:val="00C50E0A"/>
    <w:rsid w:val="00C51113"/>
    <w:rsid w:val="00C51587"/>
    <w:rsid w:val="00CA6444"/>
    <w:rsid w:val="00CA6495"/>
    <w:rsid w:val="00CB18F6"/>
    <w:rsid w:val="00CB2AEE"/>
    <w:rsid w:val="00CD6187"/>
    <w:rsid w:val="00CF3753"/>
    <w:rsid w:val="00D0258E"/>
    <w:rsid w:val="00D21B33"/>
    <w:rsid w:val="00D46CFA"/>
    <w:rsid w:val="00D52D59"/>
    <w:rsid w:val="00D5694B"/>
    <w:rsid w:val="00D620CF"/>
    <w:rsid w:val="00D62DD0"/>
    <w:rsid w:val="00D64CBD"/>
    <w:rsid w:val="00D7544C"/>
    <w:rsid w:val="00DA4EB5"/>
    <w:rsid w:val="00DB0CC5"/>
    <w:rsid w:val="00DC1025"/>
    <w:rsid w:val="00DC6568"/>
    <w:rsid w:val="00DD65BF"/>
    <w:rsid w:val="00DF3C22"/>
    <w:rsid w:val="00E267D0"/>
    <w:rsid w:val="00E37FA3"/>
    <w:rsid w:val="00EC2121"/>
    <w:rsid w:val="00EC770F"/>
    <w:rsid w:val="00ED3497"/>
    <w:rsid w:val="00EF557D"/>
    <w:rsid w:val="00EF5F28"/>
    <w:rsid w:val="00F14FB9"/>
    <w:rsid w:val="00F23CBD"/>
    <w:rsid w:val="00F27E3B"/>
    <w:rsid w:val="00F34829"/>
    <w:rsid w:val="00F52BC4"/>
    <w:rsid w:val="00F67F1A"/>
    <w:rsid w:val="00F73627"/>
    <w:rsid w:val="00F74BC9"/>
    <w:rsid w:val="00F772CF"/>
    <w:rsid w:val="00F8445D"/>
    <w:rsid w:val="00F958EB"/>
    <w:rsid w:val="00FC639A"/>
    <w:rsid w:val="00FD063F"/>
    <w:rsid w:val="00FD271D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FB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kern w:val="32"/>
      <w:position w:val="2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E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E43E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E43E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43ED"/>
  </w:style>
  <w:style w:type="paragraph" w:styleId="GvdeMetniGirintisi3">
    <w:name w:val="Body Text Indent 3"/>
    <w:basedOn w:val="Normal"/>
    <w:rsid w:val="00541C3D"/>
    <w:pPr>
      <w:overflowPunct/>
      <w:autoSpaceDE/>
      <w:autoSpaceDN/>
      <w:adjustRightInd/>
      <w:spacing w:before="120" w:after="120"/>
      <w:ind w:left="851"/>
      <w:textAlignment w:val="auto"/>
    </w:pPr>
    <w:rPr>
      <w:spacing w:val="0"/>
      <w:kern w:val="0"/>
      <w:position w:val="0"/>
      <w:lang w:val="tr-TR"/>
    </w:rPr>
  </w:style>
  <w:style w:type="character" w:styleId="AklamaBavurusu">
    <w:name w:val="annotation reference"/>
    <w:basedOn w:val="VarsaylanParagrafYazTipi"/>
    <w:rsid w:val="00213B2E"/>
    <w:rPr>
      <w:sz w:val="16"/>
      <w:szCs w:val="16"/>
    </w:rPr>
  </w:style>
  <w:style w:type="paragraph" w:styleId="AklamaMetni">
    <w:name w:val="annotation text"/>
    <w:basedOn w:val="Normal"/>
    <w:link w:val="AklamaMetniChar"/>
    <w:rsid w:val="00213B2E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213B2E"/>
    <w:rPr>
      <w:rFonts w:ascii="Arial" w:hAnsi="Arial"/>
      <w:spacing w:val="20"/>
      <w:kern w:val="32"/>
      <w:position w:val="2"/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213B2E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213B2E"/>
    <w:rPr>
      <w:b/>
      <w:bCs/>
    </w:rPr>
  </w:style>
  <w:style w:type="paragraph" w:styleId="BalonMetni">
    <w:name w:val="Balloon Text"/>
    <w:basedOn w:val="Normal"/>
    <w:link w:val="BalonMetniChar"/>
    <w:rsid w:val="0021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13B2E"/>
    <w:rPr>
      <w:rFonts w:ascii="Tahoma" w:hAnsi="Tahoma" w:cs="Tahoma"/>
      <w:spacing w:val="20"/>
      <w:kern w:val="32"/>
      <w:position w:val="2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21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66D1-2CE3-48F8-B722-449AF894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1551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TIBBİ ÜRÜNÜN ADI</vt:lpstr>
    </vt:vector>
  </TitlesOfParts>
  <Company>Deva Holding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TIBBİ ÜRÜNÜN ADI</dc:title>
  <dc:subject/>
  <dc:creator>yecoskun</dc:creator>
  <cp:keywords/>
  <dc:description/>
  <cp:lastModifiedBy>ebellikan</cp:lastModifiedBy>
  <cp:revision>12</cp:revision>
  <cp:lastPrinted>2014-08-25T12:32:00Z</cp:lastPrinted>
  <dcterms:created xsi:type="dcterms:W3CDTF">2013-03-07T12:28:00Z</dcterms:created>
  <dcterms:modified xsi:type="dcterms:W3CDTF">2014-09-04T06:45:00Z</dcterms:modified>
</cp:coreProperties>
</file>