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11" w:rsidRPr="006E16EB" w:rsidRDefault="00101A27" w:rsidP="00FA660C">
      <w:pPr>
        <w:shd w:val="clear" w:color="auto" w:fill="FFFFFF"/>
        <w:spacing w:after="0" w:line="360" w:lineRule="auto"/>
        <w:ind w:left="-284" w:right="-31"/>
        <w:jc w:val="center"/>
        <w:rPr>
          <w:rFonts w:ascii="Times New Roman" w:hAnsi="Times New Roman" w:cs="Times New Roman"/>
          <w:b/>
          <w:color w:val="000000" w:themeColor="text1"/>
          <w:sz w:val="24"/>
          <w:szCs w:val="24"/>
        </w:rPr>
      </w:pPr>
      <w:r w:rsidRPr="006E16EB">
        <w:rPr>
          <w:rFonts w:ascii="Times New Roman" w:hAnsi="Times New Roman" w:cs="Times New Roman"/>
          <w:b/>
          <w:color w:val="000000" w:themeColor="text1"/>
          <w:sz w:val="24"/>
          <w:szCs w:val="24"/>
        </w:rPr>
        <w:t>KISA ÜRÜN BİLGİSİ</w:t>
      </w:r>
    </w:p>
    <w:p w:rsidR="006828CA" w:rsidRPr="006E16EB" w:rsidRDefault="006828CA" w:rsidP="00FA660C">
      <w:pPr>
        <w:shd w:val="clear" w:color="auto" w:fill="FFFFFF"/>
        <w:spacing w:after="0" w:line="360" w:lineRule="auto"/>
        <w:ind w:left="-284" w:right="-31"/>
        <w:jc w:val="center"/>
        <w:rPr>
          <w:rFonts w:ascii="Times New Roman" w:hAnsi="Times New Roman" w:cs="Times New Roman"/>
          <w:b/>
          <w:color w:val="000000" w:themeColor="text1"/>
          <w:sz w:val="24"/>
          <w:szCs w:val="24"/>
        </w:rPr>
      </w:pPr>
    </w:p>
    <w:p w:rsidR="00101A27" w:rsidRPr="006E16EB" w:rsidRDefault="002B3EB8" w:rsidP="00FA660C">
      <w:pPr>
        <w:shd w:val="clear" w:color="auto" w:fill="FFFFFF"/>
        <w:spacing w:after="0" w:line="360" w:lineRule="auto"/>
        <w:ind w:right="-31"/>
        <w:jc w:val="both"/>
        <w:rPr>
          <w:rFonts w:ascii="Times New Roman" w:hAnsi="Times New Roman" w:cs="Times New Roman"/>
          <w:b/>
          <w:color w:val="000000" w:themeColor="text1"/>
          <w:sz w:val="24"/>
          <w:szCs w:val="24"/>
        </w:rPr>
      </w:pPr>
      <w:r w:rsidRPr="006E16EB">
        <w:rPr>
          <w:rFonts w:ascii="Times New Roman" w:hAnsi="Times New Roman" w:cs="Times New Roman"/>
          <w:b/>
          <w:color w:val="000000" w:themeColor="text1"/>
          <w:sz w:val="24"/>
          <w:szCs w:val="24"/>
        </w:rPr>
        <w:t>1.</w:t>
      </w:r>
      <w:r w:rsidR="00101A27" w:rsidRPr="006E16EB">
        <w:rPr>
          <w:rFonts w:ascii="Times New Roman" w:hAnsi="Times New Roman" w:cs="Times New Roman"/>
          <w:b/>
          <w:color w:val="000000" w:themeColor="text1"/>
          <w:sz w:val="24"/>
          <w:szCs w:val="24"/>
        </w:rPr>
        <w:t>BEŞERİ TIBBİ ÜRÜNÜN ADI</w:t>
      </w:r>
    </w:p>
    <w:p w:rsidR="00101A27" w:rsidRPr="006E16EB" w:rsidRDefault="00101A27" w:rsidP="00FA660C">
      <w:pPr>
        <w:shd w:val="clear" w:color="auto" w:fill="FFFFFF"/>
        <w:spacing w:after="0" w:line="360" w:lineRule="auto"/>
        <w:ind w:right="-31"/>
        <w:jc w:val="both"/>
        <w:rPr>
          <w:rFonts w:ascii="Times New Roman" w:hAnsi="Times New Roman" w:cs="Times New Roman"/>
          <w:color w:val="000000" w:themeColor="text1"/>
          <w:sz w:val="24"/>
          <w:szCs w:val="24"/>
        </w:rPr>
      </w:pPr>
      <w:r w:rsidRPr="001A25EF">
        <w:rPr>
          <w:rFonts w:ascii="Times New Roman" w:hAnsi="Times New Roman" w:cs="Times New Roman"/>
          <w:color w:val="000000" w:themeColor="text1"/>
          <w:sz w:val="24"/>
          <w:szCs w:val="24"/>
        </w:rPr>
        <w:t>PANDEV</w:t>
      </w:r>
      <w:r w:rsidR="00821478" w:rsidRPr="001A25EF">
        <w:rPr>
          <w:rFonts w:ascii="Times New Roman" w:hAnsi="Times New Roman" w:cs="Times New Roman"/>
          <w:color w:val="000000" w:themeColor="text1"/>
          <w:sz w:val="24"/>
          <w:szCs w:val="24"/>
          <w:vertAlign w:val="superscript"/>
        </w:rPr>
        <w:t>®</w:t>
      </w:r>
      <w:r w:rsidR="00D56E64" w:rsidRPr="001A25EF">
        <w:rPr>
          <w:rFonts w:ascii="Times New Roman" w:hAnsi="Times New Roman" w:cs="Times New Roman"/>
          <w:color w:val="000000" w:themeColor="text1"/>
          <w:sz w:val="24"/>
          <w:szCs w:val="24"/>
        </w:rPr>
        <w:t xml:space="preserve"> </w:t>
      </w:r>
      <w:r w:rsidR="007E4AE0" w:rsidRPr="001A25EF">
        <w:rPr>
          <w:rFonts w:ascii="Times New Roman" w:hAnsi="Times New Roman" w:cs="Times New Roman"/>
          <w:color w:val="000000" w:themeColor="text1"/>
          <w:sz w:val="24"/>
          <w:szCs w:val="24"/>
        </w:rPr>
        <w:t>2</w:t>
      </w:r>
      <w:r w:rsidR="00D56E64" w:rsidRPr="001A25EF">
        <w:rPr>
          <w:rFonts w:ascii="Times New Roman" w:hAnsi="Times New Roman" w:cs="Times New Roman"/>
          <w:color w:val="000000" w:themeColor="text1"/>
          <w:sz w:val="24"/>
          <w:szCs w:val="24"/>
        </w:rPr>
        <w:t>0 mg enterik kaplı t</w:t>
      </w:r>
      <w:r w:rsidRPr="001A25EF">
        <w:rPr>
          <w:rFonts w:ascii="Times New Roman" w:hAnsi="Times New Roman" w:cs="Times New Roman"/>
          <w:color w:val="000000" w:themeColor="text1"/>
          <w:sz w:val="24"/>
          <w:szCs w:val="24"/>
        </w:rPr>
        <w:t>ablet</w:t>
      </w:r>
    </w:p>
    <w:p w:rsidR="006828CA" w:rsidRPr="006E16EB" w:rsidRDefault="006828CA" w:rsidP="004372F6">
      <w:pPr>
        <w:shd w:val="clear" w:color="auto" w:fill="FFFFFF"/>
        <w:spacing w:after="0" w:line="240" w:lineRule="auto"/>
        <w:ind w:right="-28"/>
        <w:jc w:val="both"/>
        <w:rPr>
          <w:rFonts w:ascii="Times New Roman" w:hAnsi="Times New Roman" w:cs="Times New Roman"/>
          <w:color w:val="000000" w:themeColor="text1"/>
          <w:sz w:val="24"/>
          <w:szCs w:val="24"/>
        </w:rPr>
      </w:pPr>
    </w:p>
    <w:p w:rsidR="00101A27" w:rsidRPr="006E16EB" w:rsidRDefault="002B3EB8" w:rsidP="00FA660C">
      <w:pPr>
        <w:shd w:val="clear" w:color="auto" w:fill="FFFFFF"/>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2.</w:t>
      </w:r>
      <w:r w:rsidR="00101A27" w:rsidRPr="006E16EB">
        <w:rPr>
          <w:rFonts w:ascii="Times New Roman" w:hAnsi="Times New Roman" w:cs="Times New Roman"/>
          <w:b/>
          <w:color w:val="000000"/>
          <w:sz w:val="24"/>
          <w:szCs w:val="24"/>
        </w:rPr>
        <w:t>KALİTATİF VE KANTİTATİF BİLEŞİM</w:t>
      </w:r>
    </w:p>
    <w:p w:rsidR="00885611" w:rsidRPr="006E16EB" w:rsidRDefault="00885611" w:rsidP="00FA660C">
      <w:pPr>
        <w:pStyle w:val="Default"/>
        <w:tabs>
          <w:tab w:val="left" w:pos="142"/>
        </w:tabs>
        <w:spacing w:line="360" w:lineRule="auto"/>
        <w:ind w:right="3985"/>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Etkin madde: </w:t>
      </w:r>
    </w:p>
    <w:p w:rsidR="00885611" w:rsidRPr="00D241DF" w:rsidRDefault="00885611" w:rsidP="00FA660C">
      <w:pPr>
        <w:pStyle w:val="CM20"/>
        <w:tabs>
          <w:tab w:val="left" w:pos="142"/>
        </w:tabs>
        <w:spacing w:line="360" w:lineRule="auto"/>
        <w:jc w:val="both"/>
        <w:rPr>
          <w:rFonts w:ascii="Times New Roman" w:hAnsi="Times New Roman" w:cs="Times New Roman"/>
          <w:color w:val="000000" w:themeColor="text1"/>
        </w:rPr>
      </w:pPr>
      <w:r w:rsidRPr="00D241DF">
        <w:rPr>
          <w:rFonts w:ascii="Times New Roman" w:hAnsi="Times New Roman" w:cs="Times New Roman"/>
          <w:color w:val="000000" w:themeColor="text1"/>
        </w:rPr>
        <w:t xml:space="preserve">Pantoprazol </w:t>
      </w:r>
      <w:r w:rsidR="006E16EB" w:rsidRPr="00D241DF">
        <w:rPr>
          <w:rFonts w:ascii="Times New Roman" w:hAnsi="Times New Roman" w:cs="Times New Roman"/>
          <w:color w:val="000000" w:themeColor="text1"/>
          <w:u w:val="dotted"/>
        </w:rPr>
        <w:tab/>
      </w:r>
      <w:r w:rsidR="006E16EB" w:rsidRPr="00D241DF">
        <w:rPr>
          <w:rFonts w:ascii="Times New Roman" w:hAnsi="Times New Roman" w:cs="Times New Roman"/>
          <w:color w:val="000000" w:themeColor="text1"/>
          <w:u w:val="dotted"/>
        </w:rPr>
        <w:tab/>
      </w:r>
      <w:r w:rsidR="006E16EB" w:rsidRPr="00D241DF">
        <w:rPr>
          <w:rFonts w:ascii="Times New Roman" w:hAnsi="Times New Roman" w:cs="Times New Roman"/>
          <w:color w:val="000000" w:themeColor="text1"/>
          <w:u w:val="dotted"/>
        </w:rPr>
        <w:tab/>
      </w:r>
      <w:r w:rsidR="006E16EB" w:rsidRPr="00D241DF">
        <w:rPr>
          <w:rFonts w:ascii="Times New Roman" w:hAnsi="Times New Roman" w:cs="Times New Roman"/>
          <w:color w:val="000000" w:themeColor="text1"/>
          <w:u w:val="dotted"/>
        </w:rPr>
        <w:tab/>
      </w:r>
      <w:r w:rsidR="007E4AE0" w:rsidRPr="00D241DF">
        <w:rPr>
          <w:rFonts w:ascii="Times New Roman" w:hAnsi="Times New Roman" w:cs="Times New Roman"/>
          <w:color w:val="000000" w:themeColor="text1"/>
        </w:rPr>
        <w:t>2</w:t>
      </w:r>
      <w:r w:rsidRPr="00D241DF">
        <w:rPr>
          <w:rFonts w:ascii="Times New Roman" w:hAnsi="Times New Roman" w:cs="Times New Roman"/>
          <w:color w:val="000000" w:themeColor="text1"/>
        </w:rPr>
        <w:t xml:space="preserve">0 mg (sodyum seskihidrat olarak) </w:t>
      </w:r>
    </w:p>
    <w:p w:rsidR="00885611" w:rsidRPr="00D241DF" w:rsidRDefault="00885611" w:rsidP="00FA660C">
      <w:pPr>
        <w:pStyle w:val="CM20"/>
        <w:tabs>
          <w:tab w:val="left" w:pos="142"/>
        </w:tabs>
        <w:spacing w:line="360" w:lineRule="auto"/>
        <w:jc w:val="both"/>
        <w:rPr>
          <w:rFonts w:ascii="Times New Roman" w:hAnsi="Times New Roman" w:cs="Times New Roman"/>
          <w:color w:val="000000" w:themeColor="text1"/>
        </w:rPr>
      </w:pPr>
      <w:r w:rsidRPr="00D241DF">
        <w:rPr>
          <w:rFonts w:ascii="Times New Roman" w:hAnsi="Times New Roman" w:cs="Times New Roman"/>
          <w:b/>
          <w:bCs/>
          <w:color w:val="000000" w:themeColor="text1"/>
        </w:rPr>
        <w:t xml:space="preserve">Yardımcı maddeler: </w:t>
      </w:r>
    </w:p>
    <w:p w:rsidR="00101A27" w:rsidRPr="00D241DF" w:rsidRDefault="00885611" w:rsidP="00FA660C">
      <w:pPr>
        <w:pStyle w:val="CM19"/>
        <w:tabs>
          <w:tab w:val="left" w:pos="142"/>
        </w:tabs>
        <w:spacing w:line="360" w:lineRule="auto"/>
        <w:jc w:val="both"/>
        <w:rPr>
          <w:rFonts w:ascii="Times New Roman" w:hAnsi="Times New Roman" w:cs="Times New Roman"/>
          <w:color w:val="000000" w:themeColor="text1"/>
        </w:rPr>
      </w:pPr>
      <w:r w:rsidRPr="00D241DF">
        <w:rPr>
          <w:rFonts w:ascii="Times New Roman" w:hAnsi="Times New Roman" w:cs="Times New Roman"/>
          <w:color w:val="000000" w:themeColor="text1"/>
        </w:rPr>
        <w:t>Sodyum karbonat</w:t>
      </w:r>
      <w:r w:rsidR="00101A27" w:rsidRPr="00D241DF">
        <w:rPr>
          <w:rFonts w:ascii="Times New Roman" w:hAnsi="Times New Roman" w:cs="Times New Roman"/>
          <w:color w:val="000000" w:themeColor="text1"/>
        </w:rPr>
        <w:t xml:space="preserve"> anhidroz</w:t>
      </w:r>
      <w:r w:rsidRPr="00D241DF">
        <w:rPr>
          <w:rFonts w:ascii="Times New Roman" w:hAnsi="Times New Roman" w:cs="Times New Roman"/>
          <w:color w:val="000000" w:themeColor="text1"/>
        </w:rPr>
        <w:t xml:space="preserve"> </w:t>
      </w:r>
      <w:r w:rsidR="006E16EB" w:rsidRPr="00D241DF">
        <w:rPr>
          <w:rFonts w:ascii="Times New Roman" w:hAnsi="Times New Roman" w:cs="Times New Roman"/>
          <w:color w:val="000000" w:themeColor="text1"/>
          <w:u w:val="dotted"/>
        </w:rPr>
        <w:tab/>
      </w:r>
      <w:r w:rsidR="006E16EB" w:rsidRPr="00D241DF">
        <w:rPr>
          <w:rFonts w:ascii="Times New Roman" w:hAnsi="Times New Roman" w:cs="Times New Roman"/>
          <w:color w:val="000000" w:themeColor="text1"/>
          <w:u w:val="dotted"/>
        </w:rPr>
        <w:tab/>
      </w:r>
      <w:r w:rsidR="007E4AE0" w:rsidRPr="00D241DF">
        <w:rPr>
          <w:rFonts w:ascii="Times New Roman" w:hAnsi="Times New Roman" w:cs="Times New Roman"/>
          <w:color w:val="000000" w:themeColor="text1"/>
        </w:rPr>
        <w:t>5</w:t>
      </w:r>
      <w:r w:rsidR="00D241DF" w:rsidRPr="00D241DF">
        <w:rPr>
          <w:rFonts w:ascii="Times New Roman" w:hAnsi="Times New Roman" w:cs="Times New Roman"/>
          <w:color w:val="000000" w:themeColor="text1"/>
        </w:rPr>
        <w:t>.00</w:t>
      </w:r>
      <w:r w:rsidRPr="00D241DF">
        <w:rPr>
          <w:rFonts w:ascii="Times New Roman" w:hAnsi="Times New Roman" w:cs="Times New Roman"/>
          <w:color w:val="000000" w:themeColor="text1"/>
        </w:rPr>
        <w:t xml:space="preserve"> mg</w:t>
      </w:r>
    </w:p>
    <w:p w:rsidR="00101A27" w:rsidRPr="00D241DF" w:rsidRDefault="00101A27" w:rsidP="00FA660C">
      <w:pPr>
        <w:pStyle w:val="CM19"/>
        <w:tabs>
          <w:tab w:val="left" w:pos="142"/>
        </w:tabs>
        <w:spacing w:line="360" w:lineRule="auto"/>
        <w:jc w:val="both"/>
        <w:rPr>
          <w:rFonts w:ascii="Times New Roman" w:hAnsi="Times New Roman" w:cs="Times New Roman"/>
          <w:color w:val="000000" w:themeColor="text1"/>
        </w:rPr>
      </w:pPr>
      <w:r w:rsidRPr="00D241DF">
        <w:rPr>
          <w:rFonts w:ascii="Times New Roman" w:hAnsi="Times New Roman" w:cs="Times New Roman"/>
          <w:color w:val="000000" w:themeColor="text1"/>
        </w:rPr>
        <w:t xml:space="preserve">Mannitol </w:t>
      </w:r>
      <w:r w:rsidR="006E16EB" w:rsidRPr="00D241DF">
        <w:rPr>
          <w:rFonts w:ascii="Times New Roman" w:hAnsi="Times New Roman" w:cs="Times New Roman"/>
          <w:color w:val="000000" w:themeColor="text1"/>
          <w:u w:val="dotted"/>
        </w:rPr>
        <w:tab/>
      </w:r>
      <w:r w:rsidR="006E16EB" w:rsidRPr="00D241DF">
        <w:rPr>
          <w:rFonts w:ascii="Times New Roman" w:hAnsi="Times New Roman" w:cs="Times New Roman"/>
          <w:color w:val="000000" w:themeColor="text1"/>
          <w:u w:val="dotted"/>
        </w:rPr>
        <w:tab/>
      </w:r>
      <w:r w:rsidR="006E16EB" w:rsidRPr="00D241DF">
        <w:rPr>
          <w:rFonts w:ascii="Times New Roman" w:hAnsi="Times New Roman" w:cs="Times New Roman"/>
          <w:color w:val="000000" w:themeColor="text1"/>
          <w:u w:val="dotted"/>
        </w:rPr>
        <w:tab/>
      </w:r>
      <w:r w:rsidR="006E16EB" w:rsidRPr="00D241DF">
        <w:rPr>
          <w:rFonts w:ascii="Times New Roman" w:hAnsi="Times New Roman" w:cs="Times New Roman"/>
          <w:color w:val="000000" w:themeColor="text1"/>
          <w:u w:val="dotted"/>
        </w:rPr>
        <w:tab/>
      </w:r>
      <w:r w:rsidR="007E4AE0" w:rsidRPr="00D241DF">
        <w:rPr>
          <w:rFonts w:ascii="Times New Roman" w:hAnsi="Times New Roman" w:cs="Times New Roman"/>
          <w:color w:val="000000" w:themeColor="text1"/>
        </w:rPr>
        <w:t>44.625</w:t>
      </w:r>
      <w:r w:rsidR="00885611" w:rsidRPr="00D241DF">
        <w:rPr>
          <w:rFonts w:ascii="Times New Roman" w:hAnsi="Times New Roman" w:cs="Times New Roman"/>
          <w:color w:val="000000" w:themeColor="text1"/>
        </w:rPr>
        <w:t xml:space="preserve"> mg </w:t>
      </w:r>
    </w:p>
    <w:p w:rsidR="006E16EB" w:rsidRPr="006E16EB" w:rsidRDefault="006E16EB" w:rsidP="006E16EB">
      <w:pPr>
        <w:pStyle w:val="Default"/>
        <w:tabs>
          <w:tab w:val="left" w:pos="142"/>
        </w:tabs>
        <w:spacing w:line="360" w:lineRule="auto"/>
        <w:jc w:val="both"/>
        <w:rPr>
          <w:rFonts w:ascii="Times New Roman" w:hAnsi="Times New Roman" w:cs="Times New Roman"/>
          <w:color w:val="000000" w:themeColor="text1"/>
        </w:rPr>
      </w:pPr>
      <w:r w:rsidRPr="00D241DF">
        <w:rPr>
          <w:rFonts w:ascii="Times New Roman" w:hAnsi="Times New Roman" w:cs="Times New Roman"/>
          <w:color w:val="000000" w:themeColor="text1"/>
        </w:rPr>
        <w:t>Sodyum lauril sülfat</w:t>
      </w:r>
      <w:r w:rsidRPr="00D241DF">
        <w:rPr>
          <w:rFonts w:ascii="Times New Roman" w:hAnsi="Times New Roman" w:cs="Times New Roman"/>
          <w:color w:val="000000" w:themeColor="text1"/>
        </w:rPr>
        <w:tab/>
      </w:r>
      <w:r w:rsidRPr="00D241DF">
        <w:rPr>
          <w:rFonts w:ascii="Times New Roman" w:hAnsi="Times New Roman" w:cs="Times New Roman"/>
          <w:color w:val="000000" w:themeColor="text1"/>
          <w:u w:val="dotted"/>
        </w:rPr>
        <w:tab/>
      </w:r>
      <w:r w:rsidRPr="00D241DF">
        <w:rPr>
          <w:rFonts w:ascii="Times New Roman" w:hAnsi="Times New Roman" w:cs="Times New Roman"/>
          <w:color w:val="000000" w:themeColor="text1"/>
          <w:u w:val="dotted"/>
        </w:rPr>
        <w:tab/>
      </w:r>
      <w:r w:rsidR="007E4AE0" w:rsidRPr="00D241DF">
        <w:rPr>
          <w:rFonts w:ascii="Times New Roman" w:hAnsi="Times New Roman" w:cs="Times New Roman"/>
          <w:color w:val="000000" w:themeColor="text1"/>
        </w:rPr>
        <w:t>0.825</w:t>
      </w:r>
      <w:r w:rsidRPr="00D241DF">
        <w:rPr>
          <w:rFonts w:ascii="Times New Roman" w:hAnsi="Times New Roman" w:cs="Times New Roman"/>
          <w:color w:val="000000" w:themeColor="text1"/>
        </w:rPr>
        <w:t xml:space="preserve"> mg</w:t>
      </w:r>
      <w:r w:rsidRPr="006E16EB">
        <w:rPr>
          <w:rFonts w:ascii="Times New Roman" w:hAnsi="Times New Roman" w:cs="Times New Roman"/>
          <w:color w:val="000000" w:themeColor="text1"/>
        </w:rPr>
        <w:t xml:space="preserve"> </w:t>
      </w:r>
    </w:p>
    <w:p w:rsidR="00885611" w:rsidRPr="006E16EB" w:rsidRDefault="00885611" w:rsidP="00FA660C">
      <w:pPr>
        <w:pStyle w:val="CM21"/>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Yardımcı maddelerin tam listesi için 6.1’e bakınız. </w:t>
      </w:r>
    </w:p>
    <w:p w:rsidR="00C95123" w:rsidRPr="006E16EB" w:rsidRDefault="00C95123" w:rsidP="004372F6">
      <w:pPr>
        <w:pStyle w:val="Default"/>
        <w:jc w:val="both"/>
        <w:rPr>
          <w:rFonts w:ascii="Times New Roman" w:hAnsi="Times New Roman" w:cs="Times New Roman"/>
        </w:rPr>
      </w:pPr>
    </w:p>
    <w:p w:rsidR="00101A27" w:rsidRPr="006E16EB" w:rsidRDefault="002B3EB8" w:rsidP="00FA660C">
      <w:pPr>
        <w:shd w:val="clear" w:color="auto" w:fill="FFFFFF"/>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3.</w:t>
      </w:r>
      <w:r w:rsidR="00101A27" w:rsidRPr="006E16EB">
        <w:rPr>
          <w:rFonts w:ascii="Times New Roman" w:hAnsi="Times New Roman" w:cs="Times New Roman"/>
          <w:b/>
          <w:color w:val="000000"/>
          <w:sz w:val="24"/>
          <w:szCs w:val="24"/>
        </w:rPr>
        <w:t>FARMASÖTİK FORM</w:t>
      </w:r>
    </w:p>
    <w:p w:rsidR="00101A27" w:rsidRPr="006E16EB" w:rsidRDefault="00101A27" w:rsidP="00FA660C">
      <w:pPr>
        <w:shd w:val="clear" w:color="auto" w:fill="FFFFFF"/>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Enterik kaplı tablet</w:t>
      </w:r>
    </w:p>
    <w:p w:rsidR="00101A27" w:rsidRPr="006E16EB" w:rsidRDefault="00101A27" w:rsidP="00FA660C">
      <w:pPr>
        <w:shd w:val="clear" w:color="auto" w:fill="FFFFFF"/>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Açık sarı film kaplı, homojen görünüşlü, oblong tabletler.</w:t>
      </w:r>
    </w:p>
    <w:p w:rsidR="006828CA" w:rsidRPr="006E16EB" w:rsidRDefault="006828CA" w:rsidP="004372F6">
      <w:pPr>
        <w:shd w:val="clear" w:color="auto" w:fill="FFFFFF"/>
        <w:spacing w:after="0" w:line="240" w:lineRule="auto"/>
        <w:ind w:right="-28"/>
        <w:jc w:val="both"/>
        <w:rPr>
          <w:rFonts w:ascii="Times New Roman" w:hAnsi="Times New Roman" w:cs="Times New Roman"/>
          <w:color w:val="000000"/>
          <w:sz w:val="24"/>
          <w:szCs w:val="24"/>
        </w:rPr>
      </w:pPr>
    </w:p>
    <w:p w:rsidR="00101A27" w:rsidRPr="006E16EB" w:rsidRDefault="002B3EB8" w:rsidP="00FA660C">
      <w:pPr>
        <w:shd w:val="clear" w:color="auto" w:fill="FFFFFF"/>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4.</w:t>
      </w:r>
      <w:r w:rsidR="00101A27" w:rsidRPr="006E16EB">
        <w:rPr>
          <w:rFonts w:ascii="Times New Roman" w:hAnsi="Times New Roman" w:cs="Times New Roman"/>
          <w:b/>
          <w:color w:val="000000"/>
          <w:sz w:val="24"/>
          <w:szCs w:val="24"/>
        </w:rPr>
        <w:t>KLİNİK ÖZELLİKLER</w:t>
      </w:r>
    </w:p>
    <w:p w:rsidR="008F33FE" w:rsidRPr="006E16EB" w:rsidRDefault="002B3EB8" w:rsidP="00FA660C">
      <w:pPr>
        <w:pStyle w:val="CM1"/>
        <w:tabs>
          <w:tab w:val="left" w:pos="142"/>
        </w:tabs>
        <w:spacing w:line="360" w:lineRule="auto"/>
        <w:jc w:val="both"/>
        <w:rPr>
          <w:rFonts w:ascii="Times New Roman" w:hAnsi="Times New Roman" w:cs="Times New Roman"/>
          <w:b/>
          <w:bCs/>
          <w:color w:val="000000" w:themeColor="text1"/>
        </w:rPr>
      </w:pPr>
      <w:r w:rsidRPr="006E16EB">
        <w:rPr>
          <w:rFonts w:ascii="Times New Roman" w:hAnsi="Times New Roman" w:cs="Times New Roman"/>
          <w:b/>
          <w:bCs/>
          <w:color w:val="000000" w:themeColor="text1"/>
        </w:rPr>
        <w:t xml:space="preserve">4.1 </w:t>
      </w:r>
      <w:r w:rsidR="00885611" w:rsidRPr="006E16EB">
        <w:rPr>
          <w:rFonts w:ascii="Times New Roman" w:hAnsi="Times New Roman" w:cs="Times New Roman"/>
          <w:b/>
          <w:bCs/>
          <w:color w:val="000000" w:themeColor="text1"/>
        </w:rPr>
        <w:t xml:space="preserve">Terapötik endikasyonlar </w:t>
      </w:r>
    </w:p>
    <w:p w:rsidR="00885611" w:rsidRPr="006E16EB" w:rsidRDefault="00885611" w:rsidP="00FA660C">
      <w:pPr>
        <w:pStyle w:val="CM22"/>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i/>
          <w:iCs/>
          <w:color w:val="000000" w:themeColor="text1"/>
        </w:rPr>
        <w:t>12 ya</w:t>
      </w:r>
      <w:r w:rsidRPr="006E16EB">
        <w:rPr>
          <w:rFonts w:ascii="Times New Roman" w:hAnsi="Times New Roman" w:cs="Times New Roman"/>
          <w:color w:val="000000" w:themeColor="text1"/>
        </w:rPr>
        <w:t>ş</w:t>
      </w:r>
      <w:r w:rsidRPr="006E16EB">
        <w:rPr>
          <w:rFonts w:ascii="Times New Roman" w:hAnsi="Times New Roman" w:cs="Times New Roman"/>
          <w:i/>
          <w:iCs/>
          <w:color w:val="000000" w:themeColor="text1"/>
        </w:rPr>
        <w:t>ın üzerindeki çocuklarda ve eri</w:t>
      </w:r>
      <w:r w:rsidRPr="006E16EB">
        <w:rPr>
          <w:rFonts w:ascii="Times New Roman" w:hAnsi="Times New Roman" w:cs="Times New Roman"/>
          <w:color w:val="000000" w:themeColor="text1"/>
        </w:rPr>
        <w:t>ş</w:t>
      </w:r>
      <w:r w:rsidRPr="006E16EB">
        <w:rPr>
          <w:rFonts w:ascii="Times New Roman" w:hAnsi="Times New Roman" w:cs="Times New Roman"/>
          <w:i/>
          <w:iCs/>
          <w:color w:val="000000" w:themeColor="text1"/>
        </w:rPr>
        <w:t xml:space="preserve">kinlerde: </w:t>
      </w:r>
    </w:p>
    <w:p w:rsidR="002B3EB8" w:rsidRPr="006E16EB" w:rsidRDefault="00885611" w:rsidP="006E16EB">
      <w:pPr>
        <w:pStyle w:val="CM19"/>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Gastroözofageal reflü hastalığının tedavisinde endikedir. </w:t>
      </w:r>
    </w:p>
    <w:p w:rsidR="00885611" w:rsidRPr="006E16EB" w:rsidRDefault="00885611" w:rsidP="00FA660C">
      <w:pPr>
        <w:pStyle w:val="CM3"/>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i/>
          <w:iCs/>
          <w:color w:val="000000" w:themeColor="text1"/>
        </w:rPr>
        <w:t>Eri</w:t>
      </w:r>
      <w:r w:rsidRPr="006E16EB">
        <w:rPr>
          <w:rFonts w:ascii="Times New Roman" w:hAnsi="Times New Roman" w:cs="Times New Roman"/>
          <w:color w:val="000000" w:themeColor="text1"/>
        </w:rPr>
        <w:t>ş</w:t>
      </w:r>
      <w:r w:rsidRPr="006E16EB">
        <w:rPr>
          <w:rFonts w:ascii="Times New Roman" w:hAnsi="Times New Roman" w:cs="Times New Roman"/>
          <w:i/>
          <w:iCs/>
          <w:color w:val="000000" w:themeColor="text1"/>
        </w:rPr>
        <w:t xml:space="preserve">kinlerde: </w:t>
      </w:r>
    </w:p>
    <w:p w:rsidR="00885611" w:rsidRPr="006E16EB" w:rsidRDefault="002B3EB8" w:rsidP="00FA660C">
      <w:pPr>
        <w:pStyle w:val="Default"/>
        <w:numPr>
          <w:ilvl w:val="0"/>
          <w:numId w:val="1"/>
        </w:numPr>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i/>
          <w:color w:val="000000" w:themeColor="text1"/>
        </w:rPr>
        <w:t>Helicobacter pylori</w:t>
      </w:r>
      <w:r w:rsidR="00885611" w:rsidRPr="006E16EB">
        <w:rPr>
          <w:rFonts w:ascii="Times New Roman" w:hAnsi="Times New Roman" w:cs="Times New Roman"/>
          <w:i/>
          <w:iCs/>
          <w:color w:val="000000" w:themeColor="text1"/>
        </w:rPr>
        <w:t xml:space="preserve"> </w:t>
      </w:r>
      <w:r w:rsidR="00885611" w:rsidRPr="006E16EB">
        <w:rPr>
          <w:rFonts w:ascii="Times New Roman" w:hAnsi="Times New Roman" w:cs="Times New Roman"/>
          <w:i/>
          <w:color w:val="000000" w:themeColor="text1"/>
        </w:rPr>
        <w:t>(</w:t>
      </w:r>
      <w:r w:rsidRPr="006E16EB">
        <w:rPr>
          <w:rFonts w:ascii="Times New Roman" w:hAnsi="Times New Roman" w:cs="Times New Roman"/>
          <w:i/>
          <w:iCs/>
          <w:color w:val="000000" w:themeColor="text1"/>
        </w:rPr>
        <w:t>H.pylori</w:t>
      </w:r>
      <w:r w:rsidR="00885611"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ile ilişkili</w:t>
      </w:r>
      <w:r w:rsidR="00885611" w:rsidRPr="006E16EB">
        <w:rPr>
          <w:rFonts w:ascii="Times New Roman" w:hAnsi="Times New Roman" w:cs="Times New Roman"/>
          <w:color w:val="000000" w:themeColor="text1"/>
        </w:rPr>
        <w:t xml:space="preserve"> duodenal ve gastrik ülserde bu mikroorganizmanın eradikasyonu için uygun iki antibiyotikle kombine olarak, </w:t>
      </w:r>
    </w:p>
    <w:p w:rsidR="002B3EB8" w:rsidRPr="00917221" w:rsidRDefault="00885611" w:rsidP="00FA660C">
      <w:pPr>
        <w:pStyle w:val="Default"/>
        <w:numPr>
          <w:ilvl w:val="0"/>
          <w:numId w:val="1"/>
        </w:numPr>
        <w:tabs>
          <w:tab w:val="left" w:pos="142"/>
        </w:tabs>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Peptik ülserde (duodenal ülser ve gastrik ülser), </w:t>
      </w:r>
    </w:p>
    <w:p w:rsidR="00C95123" w:rsidRPr="00917221" w:rsidRDefault="00885611" w:rsidP="00FA660C">
      <w:pPr>
        <w:pStyle w:val="Default"/>
        <w:numPr>
          <w:ilvl w:val="0"/>
          <w:numId w:val="1"/>
        </w:numPr>
        <w:tabs>
          <w:tab w:val="left" w:pos="142"/>
        </w:tabs>
        <w:spacing w:line="360" w:lineRule="auto"/>
        <w:jc w:val="both"/>
        <w:rPr>
          <w:rFonts w:ascii="Times New Roman" w:hAnsi="Times New Roman" w:cs="Times New Roman"/>
          <w:color w:val="auto"/>
        </w:rPr>
      </w:pPr>
      <w:r w:rsidRPr="00917221">
        <w:rPr>
          <w:rFonts w:ascii="Times New Roman" w:hAnsi="Times New Roman" w:cs="Times New Roman"/>
          <w:color w:val="auto"/>
        </w:rPr>
        <w:t>Zollinger Ellison Sendromu ve diğer patolojik hipersekresyonlu durumlarda kullanılır.</w:t>
      </w:r>
    </w:p>
    <w:p w:rsidR="00885611" w:rsidRPr="00917221" w:rsidRDefault="00885611" w:rsidP="004372F6">
      <w:pPr>
        <w:pStyle w:val="Default"/>
        <w:tabs>
          <w:tab w:val="left" w:pos="142"/>
        </w:tabs>
        <w:jc w:val="both"/>
        <w:rPr>
          <w:rFonts w:ascii="Times New Roman" w:hAnsi="Times New Roman" w:cs="Times New Roman"/>
          <w:color w:val="auto"/>
        </w:rPr>
      </w:pPr>
    </w:p>
    <w:p w:rsidR="00885611" w:rsidRPr="00917221" w:rsidRDefault="00885611"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b/>
          <w:bCs/>
          <w:color w:val="auto"/>
        </w:rPr>
        <w:t xml:space="preserve">4.2 Pozoloji ve uygulama </w:t>
      </w:r>
      <w:r w:rsidRPr="00917221">
        <w:rPr>
          <w:rFonts w:ascii="Times New Roman" w:hAnsi="Times New Roman" w:cs="Times New Roman"/>
          <w:color w:val="auto"/>
        </w:rPr>
        <w:t>ş</w:t>
      </w:r>
      <w:r w:rsidRPr="00917221">
        <w:rPr>
          <w:rFonts w:ascii="Times New Roman" w:hAnsi="Times New Roman" w:cs="Times New Roman"/>
          <w:b/>
          <w:bCs/>
          <w:color w:val="auto"/>
        </w:rPr>
        <w:t xml:space="preserve">ekli </w:t>
      </w:r>
    </w:p>
    <w:p w:rsidR="00C95123" w:rsidRPr="00917221" w:rsidRDefault="00C95123"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b/>
          <w:bCs/>
          <w:color w:val="auto"/>
        </w:rPr>
        <w:t>Pozoloji/uygulama sıklı</w:t>
      </w:r>
      <w:r w:rsidRPr="00917221">
        <w:rPr>
          <w:rFonts w:ascii="Times New Roman" w:hAnsi="Times New Roman" w:cs="Times New Roman"/>
          <w:color w:val="auto"/>
        </w:rPr>
        <w:t>ğ</w:t>
      </w:r>
      <w:r w:rsidRPr="00917221">
        <w:rPr>
          <w:rFonts w:ascii="Times New Roman" w:hAnsi="Times New Roman" w:cs="Times New Roman"/>
          <w:b/>
          <w:bCs/>
          <w:color w:val="auto"/>
        </w:rPr>
        <w:t xml:space="preserve">ı ve süresi: </w:t>
      </w:r>
    </w:p>
    <w:p w:rsidR="00C95123" w:rsidRPr="00917221" w:rsidRDefault="00C95123"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i/>
          <w:iCs/>
          <w:color w:val="auto"/>
        </w:rPr>
        <w:t>12 ya</w:t>
      </w:r>
      <w:r w:rsidRPr="00917221">
        <w:rPr>
          <w:rFonts w:ascii="Times New Roman" w:hAnsi="Times New Roman" w:cs="Times New Roman"/>
          <w:color w:val="auto"/>
        </w:rPr>
        <w:t>ş</w:t>
      </w:r>
      <w:r w:rsidRPr="00917221">
        <w:rPr>
          <w:rFonts w:ascii="Times New Roman" w:hAnsi="Times New Roman" w:cs="Times New Roman"/>
          <w:i/>
          <w:iCs/>
          <w:color w:val="auto"/>
        </w:rPr>
        <w:t>ın üzerindeki çocuklarda ve eri</w:t>
      </w:r>
      <w:r w:rsidRPr="00917221">
        <w:rPr>
          <w:rFonts w:ascii="Times New Roman" w:hAnsi="Times New Roman" w:cs="Times New Roman"/>
          <w:color w:val="auto"/>
        </w:rPr>
        <w:t>ş</w:t>
      </w:r>
      <w:r w:rsidRPr="00917221">
        <w:rPr>
          <w:rFonts w:ascii="Times New Roman" w:hAnsi="Times New Roman" w:cs="Times New Roman"/>
          <w:i/>
          <w:iCs/>
          <w:color w:val="auto"/>
        </w:rPr>
        <w:t xml:space="preserve">kinlerde: </w:t>
      </w:r>
    </w:p>
    <w:p w:rsidR="00C95123" w:rsidRPr="00917221" w:rsidRDefault="00C95123"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color w:val="auto"/>
          <w:u w:val="single"/>
        </w:rPr>
        <w:t xml:space="preserve">Gastroözofageal reflü hastalığında </w:t>
      </w:r>
    </w:p>
    <w:p w:rsidR="00C95123" w:rsidRPr="00917221" w:rsidRDefault="00C95123"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Önerilen doz günde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 adet PANDEV</w:t>
      </w:r>
      <w:r w:rsidRPr="00917221">
        <w:rPr>
          <w:rFonts w:ascii="Times New Roman" w:hAnsi="Times New Roman" w:cs="Times New Roman"/>
          <w:color w:val="auto"/>
          <w:vertAlign w:val="superscript"/>
        </w:rPr>
        <w:t xml:space="preserve">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0 mg’dır. Bazı durumlarda doz iki katına çıkarılabilir (günde </w:t>
      </w:r>
      <w:r w:rsidR="00917221" w:rsidRPr="00917221">
        <w:rPr>
          <w:rFonts w:ascii="Times New Roman" w:hAnsi="Times New Roman" w:cs="Times New Roman"/>
          <w:color w:val="auto"/>
        </w:rPr>
        <w:t>4</w:t>
      </w:r>
      <w:r w:rsidRPr="00917221">
        <w:rPr>
          <w:rFonts w:ascii="Times New Roman" w:hAnsi="Times New Roman" w:cs="Times New Roman"/>
          <w:color w:val="auto"/>
        </w:rPr>
        <w:t xml:space="preserve"> adet PANDEV</w:t>
      </w:r>
      <w:r w:rsidRPr="00917221">
        <w:rPr>
          <w:rFonts w:ascii="Times New Roman" w:hAnsi="Times New Roman" w:cs="Times New Roman"/>
          <w:color w:val="auto"/>
          <w:vertAlign w:val="superscript"/>
        </w:rPr>
        <w:t xml:space="preserve">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0 mg). 4 haftalık tedavi sonunda iyileşmeyen hastalar için 4 haftalık ilave bir tedavi düşünülebilir. </w:t>
      </w:r>
    </w:p>
    <w:p w:rsidR="004372F6" w:rsidRDefault="004372F6" w:rsidP="00FA660C">
      <w:pPr>
        <w:pStyle w:val="Default"/>
        <w:spacing w:line="360" w:lineRule="auto"/>
        <w:jc w:val="both"/>
        <w:rPr>
          <w:rFonts w:ascii="Times New Roman" w:hAnsi="Times New Roman" w:cs="Times New Roman"/>
          <w:i/>
          <w:iCs/>
          <w:color w:val="auto"/>
        </w:rPr>
      </w:pPr>
    </w:p>
    <w:p w:rsidR="00C95123" w:rsidRPr="00917221" w:rsidRDefault="00C95123"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i/>
          <w:iCs/>
          <w:color w:val="auto"/>
        </w:rPr>
        <w:lastRenderedPageBreak/>
        <w:t>Eri</w:t>
      </w:r>
      <w:r w:rsidRPr="00917221">
        <w:rPr>
          <w:rFonts w:ascii="Times New Roman" w:hAnsi="Times New Roman" w:cs="Times New Roman"/>
          <w:color w:val="auto"/>
        </w:rPr>
        <w:t>ş</w:t>
      </w:r>
      <w:r w:rsidRPr="00917221">
        <w:rPr>
          <w:rFonts w:ascii="Times New Roman" w:hAnsi="Times New Roman" w:cs="Times New Roman"/>
          <w:i/>
          <w:iCs/>
          <w:color w:val="auto"/>
        </w:rPr>
        <w:t xml:space="preserve">kinler: </w:t>
      </w:r>
    </w:p>
    <w:p w:rsidR="002B3EB8" w:rsidRPr="00917221" w:rsidRDefault="00C95123"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color w:val="auto"/>
          <w:u w:val="single"/>
        </w:rPr>
        <w:t xml:space="preserve">Uygun iki antibiyotikle kombine olarak </w:t>
      </w:r>
      <w:r w:rsidRPr="00917221">
        <w:rPr>
          <w:rFonts w:ascii="Times New Roman" w:hAnsi="Times New Roman" w:cs="Times New Roman"/>
          <w:i/>
          <w:iCs/>
          <w:color w:val="auto"/>
          <w:u w:val="single"/>
        </w:rPr>
        <w:t xml:space="preserve">H.Pylori </w:t>
      </w:r>
      <w:r w:rsidRPr="00917221">
        <w:rPr>
          <w:rFonts w:ascii="Times New Roman" w:hAnsi="Times New Roman" w:cs="Times New Roman"/>
          <w:color w:val="auto"/>
          <w:u w:val="single"/>
        </w:rPr>
        <w:t xml:space="preserve">eradikasyonunda </w:t>
      </w:r>
    </w:p>
    <w:p w:rsidR="00C95123" w:rsidRPr="00917221" w:rsidRDefault="002B3EB8" w:rsidP="00FA660C">
      <w:pPr>
        <w:pStyle w:val="Default"/>
        <w:spacing w:line="360" w:lineRule="auto"/>
        <w:jc w:val="both"/>
        <w:rPr>
          <w:rFonts w:ascii="Times New Roman" w:hAnsi="Times New Roman" w:cs="Times New Roman"/>
          <w:color w:val="auto"/>
        </w:rPr>
      </w:pPr>
      <w:r w:rsidRPr="00917221">
        <w:rPr>
          <w:rFonts w:ascii="Times New Roman" w:eastAsiaTheme="minorHAnsi" w:hAnsi="Times New Roman" w:cs="Times New Roman"/>
          <w:i/>
          <w:iCs/>
          <w:color w:val="auto"/>
          <w:lang w:eastAsia="en-US"/>
        </w:rPr>
        <w:t xml:space="preserve">H. pylori </w:t>
      </w:r>
      <w:r w:rsidRPr="00917221">
        <w:rPr>
          <w:rFonts w:ascii="Times New Roman" w:eastAsiaTheme="minorHAnsi" w:hAnsi="Times New Roman" w:cs="Times New Roman"/>
          <w:color w:val="auto"/>
          <w:lang w:eastAsia="en-US"/>
        </w:rPr>
        <w:t xml:space="preserve">pozitif gastrik ve duodenal ülserli hastalarda, etkenin tamamen ortadan kaldırılması için kombine tedavi uygulanmalıdır. Direnç ve uygun antibiyotiklerin reçetelenmesi için varsa ulusal öneriler gibi resmi yerel rehberler göz önünde bulundurulmalıdır. </w:t>
      </w:r>
      <w:r w:rsidR="00C95123" w:rsidRPr="00917221">
        <w:rPr>
          <w:rFonts w:ascii="Times New Roman" w:hAnsi="Times New Roman" w:cs="Times New Roman"/>
          <w:color w:val="auto"/>
        </w:rPr>
        <w:t xml:space="preserve"> </w:t>
      </w:r>
      <w:r w:rsidR="00C95123" w:rsidRPr="00917221">
        <w:rPr>
          <w:rFonts w:ascii="Times New Roman" w:hAnsi="Times New Roman" w:cs="Times New Roman"/>
          <w:i/>
          <w:iCs/>
          <w:color w:val="auto"/>
        </w:rPr>
        <w:t xml:space="preserve">H. pylori </w:t>
      </w:r>
      <w:r w:rsidR="00C95123" w:rsidRPr="00917221">
        <w:rPr>
          <w:rFonts w:ascii="Times New Roman" w:hAnsi="Times New Roman" w:cs="Times New Roman"/>
          <w:color w:val="auto"/>
        </w:rPr>
        <w:t xml:space="preserve">eradikasyonu için direnç durumuna göre aşağıdaki kombinasyonlar önerilebilir: </w:t>
      </w:r>
    </w:p>
    <w:p w:rsidR="00C95123" w:rsidRPr="00917221" w:rsidRDefault="00C95123"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a) Günde 2 defa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 PANDEV</w:t>
      </w:r>
      <w:r w:rsidRPr="00917221">
        <w:rPr>
          <w:rFonts w:ascii="Times New Roman" w:hAnsi="Times New Roman" w:cs="Times New Roman"/>
          <w:color w:val="auto"/>
          <w:vertAlign w:val="superscript"/>
        </w:rPr>
        <w:t xml:space="preserve">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0 mg Enterik Kaplı Tablet </w:t>
      </w:r>
    </w:p>
    <w:p w:rsidR="00C95123" w:rsidRPr="00917221" w:rsidRDefault="00C95123" w:rsidP="00FA660C">
      <w:pPr>
        <w:pStyle w:val="Default"/>
        <w:numPr>
          <w:ilvl w:val="0"/>
          <w:numId w:val="2"/>
        </w:numPr>
        <w:tabs>
          <w:tab w:val="left" w:pos="284"/>
        </w:tabs>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Günde 2 defa 1000 mg amoksisilin </w:t>
      </w:r>
    </w:p>
    <w:p w:rsidR="00C95123" w:rsidRPr="00917221" w:rsidRDefault="00C95123" w:rsidP="004372F6">
      <w:pPr>
        <w:pStyle w:val="Default"/>
        <w:numPr>
          <w:ilvl w:val="0"/>
          <w:numId w:val="2"/>
        </w:numPr>
        <w:tabs>
          <w:tab w:val="left" w:pos="284"/>
        </w:tabs>
        <w:jc w:val="both"/>
        <w:rPr>
          <w:rFonts w:ascii="Times New Roman" w:hAnsi="Times New Roman" w:cs="Times New Roman"/>
          <w:color w:val="auto"/>
        </w:rPr>
      </w:pPr>
      <w:r w:rsidRPr="00917221">
        <w:rPr>
          <w:rFonts w:ascii="Times New Roman" w:hAnsi="Times New Roman" w:cs="Times New Roman"/>
          <w:color w:val="auto"/>
        </w:rPr>
        <w:t xml:space="preserve">Günde 2 defa 500 mg klaritromisin </w:t>
      </w:r>
    </w:p>
    <w:p w:rsidR="00141FF1" w:rsidRPr="00917221" w:rsidRDefault="00141FF1" w:rsidP="004372F6">
      <w:pPr>
        <w:pStyle w:val="Default"/>
        <w:tabs>
          <w:tab w:val="left" w:pos="284"/>
        </w:tabs>
        <w:jc w:val="both"/>
        <w:rPr>
          <w:rFonts w:ascii="Times New Roman" w:hAnsi="Times New Roman" w:cs="Times New Roman"/>
          <w:color w:val="auto"/>
        </w:rPr>
      </w:pPr>
    </w:p>
    <w:p w:rsidR="002B3EB8" w:rsidRPr="00917221" w:rsidRDefault="00C95123" w:rsidP="00FA660C">
      <w:pPr>
        <w:pStyle w:val="Default"/>
        <w:tabs>
          <w:tab w:val="left" w:pos="284"/>
        </w:tabs>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b) Günde 2 defa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 PANDEV</w:t>
      </w:r>
      <w:r w:rsidRPr="00917221">
        <w:rPr>
          <w:rFonts w:ascii="Times New Roman" w:hAnsi="Times New Roman" w:cs="Times New Roman"/>
          <w:color w:val="auto"/>
          <w:vertAlign w:val="superscript"/>
        </w:rPr>
        <w:t xml:space="preserve">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0 mg Enterik Kaplı Tablet </w:t>
      </w:r>
    </w:p>
    <w:p w:rsidR="002B3EB8" w:rsidRPr="00917221" w:rsidRDefault="002B3EB8" w:rsidP="00FA660C">
      <w:pPr>
        <w:pStyle w:val="Default"/>
        <w:numPr>
          <w:ilvl w:val="0"/>
          <w:numId w:val="3"/>
        </w:numPr>
        <w:tabs>
          <w:tab w:val="left" w:pos="284"/>
        </w:tabs>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Günde 2 defa 400-500 mg metronidazol </w:t>
      </w:r>
      <w:r w:rsidRPr="00917221">
        <w:rPr>
          <w:rFonts w:ascii="Times New Roman" w:eastAsiaTheme="minorHAnsi" w:hAnsi="Times New Roman" w:cs="Times New Roman"/>
          <w:color w:val="auto"/>
          <w:lang w:eastAsia="en-US"/>
        </w:rPr>
        <w:t>(veya 500 mg tinidazol)</w:t>
      </w:r>
    </w:p>
    <w:p w:rsidR="00C95123" w:rsidRPr="00917221" w:rsidRDefault="00C95123" w:rsidP="004372F6">
      <w:pPr>
        <w:pStyle w:val="Default"/>
        <w:numPr>
          <w:ilvl w:val="0"/>
          <w:numId w:val="3"/>
        </w:numPr>
        <w:tabs>
          <w:tab w:val="left" w:pos="284"/>
        </w:tabs>
        <w:jc w:val="both"/>
        <w:rPr>
          <w:rFonts w:ascii="Times New Roman" w:hAnsi="Times New Roman" w:cs="Times New Roman"/>
          <w:color w:val="auto"/>
        </w:rPr>
      </w:pPr>
      <w:r w:rsidRPr="00917221">
        <w:rPr>
          <w:rFonts w:ascii="Times New Roman" w:hAnsi="Times New Roman" w:cs="Times New Roman"/>
          <w:color w:val="auto"/>
        </w:rPr>
        <w:t xml:space="preserve">Günde 2 defa 250-500 mg klaritromisin </w:t>
      </w:r>
    </w:p>
    <w:p w:rsidR="00C95123" w:rsidRPr="00917221" w:rsidRDefault="00C95123" w:rsidP="004372F6">
      <w:pPr>
        <w:pStyle w:val="Default"/>
        <w:tabs>
          <w:tab w:val="left" w:pos="284"/>
        </w:tabs>
        <w:jc w:val="both"/>
        <w:rPr>
          <w:rFonts w:ascii="Times New Roman" w:hAnsi="Times New Roman" w:cs="Times New Roman"/>
          <w:color w:val="auto"/>
        </w:rPr>
      </w:pPr>
    </w:p>
    <w:p w:rsidR="00C95123" w:rsidRPr="00917221" w:rsidRDefault="00C95123" w:rsidP="00FA660C">
      <w:pPr>
        <w:pStyle w:val="Default"/>
        <w:tabs>
          <w:tab w:val="left" w:pos="284"/>
        </w:tabs>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c) Günde 2 defa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 PANDEV</w:t>
      </w:r>
      <w:r w:rsidRPr="00917221">
        <w:rPr>
          <w:rFonts w:ascii="Times New Roman" w:hAnsi="Times New Roman" w:cs="Times New Roman"/>
          <w:color w:val="auto"/>
          <w:vertAlign w:val="superscript"/>
        </w:rPr>
        <w:t xml:space="preserve">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0 mg Enterik Kaplı Tablet </w:t>
      </w:r>
    </w:p>
    <w:p w:rsidR="00C95123" w:rsidRPr="00917221" w:rsidRDefault="00C95123" w:rsidP="00FA660C">
      <w:pPr>
        <w:pStyle w:val="Default"/>
        <w:numPr>
          <w:ilvl w:val="0"/>
          <w:numId w:val="4"/>
        </w:numPr>
        <w:tabs>
          <w:tab w:val="left" w:pos="284"/>
        </w:tabs>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Günde 2 defa 1000 mg amoksisilin </w:t>
      </w:r>
    </w:p>
    <w:p w:rsidR="00C95123" w:rsidRPr="00917221" w:rsidRDefault="00C95123" w:rsidP="004372F6">
      <w:pPr>
        <w:pStyle w:val="Default"/>
        <w:numPr>
          <w:ilvl w:val="0"/>
          <w:numId w:val="3"/>
        </w:numPr>
        <w:tabs>
          <w:tab w:val="left" w:pos="284"/>
        </w:tabs>
        <w:jc w:val="both"/>
        <w:rPr>
          <w:rFonts w:ascii="Times New Roman" w:hAnsi="Times New Roman" w:cs="Times New Roman"/>
          <w:color w:val="auto"/>
        </w:rPr>
      </w:pPr>
      <w:r w:rsidRPr="00917221">
        <w:rPr>
          <w:rFonts w:ascii="Times New Roman" w:hAnsi="Times New Roman" w:cs="Times New Roman"/>
          <w:color w:val="auto"/>
        </w:rPr>
        <w:t xml:space="preserve">Günde 2 defa 500 mg metronidazol </w:t>
      </w:r>
      <w:r w:rsidR="002B3EB8" w:rsidRPr="00917221">
        <w:rPr>
          <w:rFonts w:ascii="Times New Roman" w:eastAsiaTheme="minorHAnsi" w:hAnsi="Times New Roman" w:cs="Times New Roman"/>
          <w:color w:val="auto"/>
          <w:lang w:eastAsia="en-US"/>
        </w:rPr>
        <w:t>(veya 500 mg tinidazol)</w:t>
      </w:r>
    </w:p>
    <w:p w:rsidR="00C95123" w:rsidRPr="00917221" w:rsidRDefault="00C95123" w:rsidP="004372F6">
      <w:pPr>
        <w:pStyle w:val="Default"/>
        <w:contextualSpacing/>
        <w:jc w:val="both"/>
        <w:rPr>
          <w:rFonts w:ascii="Times New Roman" w:hAnsi="Times New Roman" w:cs="Times New Roman"/>
          <w:color w:val="auto"/>
        </w:rPr>
      </w:pPr>
    </w:p>
    <w:p w:rsidR="00C95123" w:rsidRPr="00917221" w:rsidRDefault="00C95123"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i/>
          <w:iCs/>
          <w:color w:val="auto"/>
        </w:rPr>
        <w:t xml:space="preserve">H. pylori </w:t>
      </w:r>
      <w:r w:rsidRPr="00917221">
        <w:rPr>
          <w:rFonts w:ascii="Times New Roman" w:hAnsi="Times New Roman" w:cs="Times New Roman"/>
          <w:color w:val="auto"/>
        </w:rPr>
        <w:t>eradikasyonu için kombinasyon tedavisinde ikinci PANDEV</w:t>
      </w:r>
      <w:r w:rsidRPr="00917221">
        <w:rPr>
          <w:rFonts w:ascii="Times New Roman" w:hAnsi="Times New Roman" w:cs="Times New Roman"/>
          <w:color w:val="auto"/>
          <w:vertAlign w:val="superscript"/>
        </w:rPr>
        <w:t xml:space="preserve"> </w:t>
      </w:r>
      <w:r w:rsidRPr="00917221">
        <w:rPr>
          <w:rFonts w:ascii="Times New Roman" w:hAnsi="Times New Roman" w:cs="Times New Roman"/>
          <w:color w:val="auto"/>
        </w:rPr>
        <w:t>40 mg enterik kaplı tablet</w:t>
      </w:r>
      <w:r w:rsidR="002B3EB8" w:rsidRPr="00917221">
        <w:rPr>
          <w:rFonts w:ascii="Times New Roman" w:hAnsi="Times New Roman" w:cs="Times New Roman"/>
          <w:color w:val="auto"/>
        </w:rPr>
        <w:t>,</w:t>
      </w:r>
      <w:r w:rsidRPr="00917221">
        <w:rPr>
          <w:rFonts w:ascii="Times New Roman" w:hAnsi="Times New Roman" w:cs="Times New Roman"/>
          <w:color w:val="auto"/>
        </w:rPr>
        <w:t xml:space="preserve"> akşam yemeğinden 1 saat önce alınmalıdır. Kombinasyon tedavisi genellikle 7 gün uygulanır ve toplam 2 haftaya kadar 7 gün daha uzatılabilir. Ülser tedavisi için pantoprazol tedavisine devam edilecekse duodenal ve gastrik ülser için doz önerileri göz önüne alınmalıdır. </w:t>
      </w:r>
    </w:p>
    <w:p w:rsidR="00C95123" w:rsidRPr="00917221" w:rsidRDefault="00C95123" w:rsidP="004372F6">
      <w:pPr>
        <w:pStyle w:val="Default"/>
        <w:tabs>
          <w:tab w:val="left" w:pos="142"/>
        </w:tabs>
        <w:contextualSpacing/>
        <w:jc w:val="both"/>
        <w:rPr>
          <w:rFonts w:ascii="Times New Roman" w:hAnsi="Times New Roman" w:cs="Times New Roman"/>
          <w:color w:val="auto"/>
        </w:rPr>
      </w:pPr>
    </w:p>
    <w:p w:rsidR="00C95123" w:rsidRPr="00917221" w:rsidRDefault="002B3EB8"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color w:val="auto"/>
        </w:rPr>
        <w:t>Kombine tedavinin gerekmediği durumlarda</w:t>
      </w:r>
      <w:r w:rsidR="00C95123" w:rsidRPr="00917221">
        <w:rPr>
          <w:rFonts w:ascii="Times New Roman" w:hAnsi="Times New Roman" w:cs="Times New Roman"/>
          <w:color w:val="auto"/>
        </w:rPr>
        <w:t xml:space="preserve">, örneğin hasta </w:t>
      </w:r>
      <w:r w:rsidR="00C95123" w:rsidRPr="00917221">
        <w:rPr>
          <w:rFonts w:ascii="Times New Roman" w:hAnsi="Times New Roman" w:cs="Times New Roman"/>
          <w:i/>
          <w:iCs/>
          <w:color w:val="auto"/>
        </w:rPr>
        <w:t xml:space="preserve">H.pylori </w:t>
      </w:r>
      <w:r w:rsidR="00C95123" w:rsidRPr="00917221">
        <w:rPr>
          <w:rFonts w:ascii="Times New Roman" w:hAnsi="Times New Roman" w:cs="Times New Roman"/>
          <w:color w:val="auto"/>
        </w:rPr>
        <w:t>negatif ise, aşağıda belirtilen dozda PANDEV</w:t>
      </w:r>
      <w:r w:rsidR="00C95123" w:rsidRPr="00917221">
        <w:rPr>
          <w:rFonts w:ascii="Times New Roman" w:hAnsi="Times New Roman" w:cs="Times New Roman"/>
          <w:color w:val="auto"/>
          <w:vertAlign w:val="superscript"/>
        </w:rPr>
        <w:t xml:space="preserve"> </w:t>
      </w:r>
      <w:r w:rsidR="00917221" w:rsidRPr="00917221">
        <w:rPr>
          <w:rFonts w:ascii="Times New Roman" w:hAnsi="Times New Roman" w:cs="Times New Roman"/>
          <w:color w:val="auto"/>
        </w:rPr>
        <w:t>2</w:t>
      </w:r>
      <w:r w:rsidR="00C95123" w:rsidRPr="00917221">
        <w:rPr>
          <w:rFonts w:ascii="Times New Roman" w:hAnsi="Times New Roman" w:cs="Times New Roman"/>
          <w:color w:val="auto"/>
        </w:rPr>
        <w:t xml:space="preserve">0 mg Enterik Kaplı Tablet monoterapisi uygulanır: </w:t>
      </w:r>
    </w:p>
    <w:p w:rsidR="002B3EB8" w:rsidRPr="00917221" w:rsidRDefault="002B3EB8" w:rsidP="004372F6">
      <w:pPr>
        <w:pStyle w:val="Default"/>
        <w:contextualSpacing/>
        <w:jc w:val="both"/>
        <w:rPr>
          <w:rFonts w:ascii="Times New Roman" w:hAnsi="Times New Roman" w:cs="Times New Roman"/>
          <w:color w:val="auto"/>
          <w:u w:val="single"/>
        </w:rPr>
      </w:pPr>
    </w:p>
    <w:p w:rsidR="00C95123" w:rsidRPr="00917221" w:rsidRDefault="00C95123" w:rsidP="00FA660C">
      <w:pPr>
        <w:pStyle w:val="Default"/>
        <w:spacing w:line="360" w:lineRule="auto"/>
        <w:jc w:val="both"/>
        <w:rPr>
          <w:rFonts w:ascii="Times New Roman" w:hAnsi="Times New Roman" w:cs="Times New Roman"/>
          <w:color w:val="auto"/>
          <w:u w:val="single"/>
        </w:rPr>
      </w:pPr>
      <w:r w:rsidRPr="00917221">
        <w:rPr>
          <w:rFonts w:ascii="Times New Roman" w:hAnsi="Times New Roman" w:cs="Times New Roman"/>
          <w:color w:val="auto"/>
          <w:u w:val="single"/>
        </w:rPr>
        <w:t xml:space="preserve">Gastrik ülser tedavisinde </w:t>
      </w:r>
    </w:p>
    <w:p w:rsidR="00C95123" w:rsidRPr="00917221" w:rsidRDefault="00C95123" w:rsidP="00FA660C">
      <w:pPr>
        <w:pStyle w:val="Default"/>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Günde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 tablet PANDEV </w:t>
      </w:r>
      <w:r w:rsidR="00917221" w:rsidRPr="00917221">
        <w:rPr>
          <w:rFonts w:ascii="Times New Roman" w:hAnsi="Times New Roman" w:cs="Times New Roman"/>
          <w:color w:val="auto"/>
        </w:rPr>
        <w:t>2</w:t>
      </w:r>
      <w:r w:rsidR="002B3EB8" w:rsidRPr="00917221">
        <w:rPr>
          <w:rFonts w:ascii="Times New Roman" w:hAnsi="Times New Roman" w:cs="Times New Roman"/>
          <w:color w:val="auto"/>
        </w:rPr>
        <w:t xml:space="preserve">0 mg </w:t>
      </w:r>
      <w:r w:rsidRPr="00917221">
        <w:rPr>
          <w:rFonts w:ascii="Times New Roman" w:hAnsi="Times New Roman" w:cs="Times New Roman"/>
          <w:color w:val="auto"/>
        </w:rPr>
        <w:t xml:space="preserve">alınır. Bilhassa, diğer tedavilere yanıt alınamaması gibi özel vakalarda doz iki katına çıkarılabilir (günde </w:t>
      </w:r>
      <w:r w:rsidR="00917221" w:rsidRPr="00917221">
        <w:rPr>
          <w:rFonts w:ascii="Times New Roman" w:hAnsi="Times New Roman" w:cs="Times New Roman"/>
          <w:color w:val="auto"/>
        </w:rPr>
        <w:t>4</w:t>
      </w:r>
      <w:r w:rsidRPr="00917221">
        <w:rPr>
          <w:rFonts w:ascii="Times New Roman" w:hAnsi="Times New Roman" w:cs="Times New Roman"/>
          <w:color w:val="auto"/>
        </w:rPr>
        <w:t xml:space="preserve"> adet PANDEV</w:t>
      </w:r>
      <w:r w:rsidRPr="00917221">
        <w:rPr>
          <w:rFonts w:ascii="Times New Roman" w:hAnsi="Times New Roman" w:cs="Times New Roman"/>
          <w:color w:val="auto"/>
          <w:vertAlign w:val="superscript"/>
        </w:rPr>
        <w:t xml:space="preserve">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0 mg). Gastrik ülser tedavisinde genellikle 4 haftalık bir periyod gereklidir. Eğer bu süre yeterli değilse, </w:t>
      </w:r>
      <w:r w:rsidR="00452DD3" w:rsidRPr="00917221">
        <w:rPr>
          <w:rFonts w:ascii="Times New Roman" w:hAnsi="Times New Roman" w:cs="Times New Roman"/>
          <w:color w:val="auto"/>
        </w:rPr>
        <w:t>genellikle ilave bir 4 haftalık tedavi süresince</w:t>
      </w:r>
      <w:r w:rsidRPr="00917221">
        <w:rPr>
          <w:rFonts w:ascii="Times New Roman" w:hAnsi="Times New Roman" w:cs="Times New Roman"/>
          <w:color w:val="auto"/>
        </w:rPr>
        <w:t xml:space="preserve"> iyileşme gözlenecektir. </w:t>
      </w:r>
    </w:p>
    <w:p w:rsidR="00C95123" w:rsidRPr="00917221" w:rsidRDefault="00C95123" w:rsidP="004372F6">
      <w:pPr>
        <w:pStyle w:val="Default"/>
        <w:contextualSpacing/>
        <w:jc w:val="both"/>
        <w:rPr>
          <w:rFonts w:ascii="Times New Roman" w:hAnsi="Times New Roman" w:cs="Times New Roman"/>
          <w:color w:val="auto"/>
        </w:rPr>
      </w:pPr>
    </w:p>
    <w:p w:rsidR="00C95123" w:rsidRPr="00917221" w:rsidRDefault="00C95123" w:rsidP="00FA660C">
      <w:pPr>
        <w:pStyle w:val="Default"/>
        <w:spacing w:line="360" w:lineRule="auto"/>
        <w:jc w:val="both"/>
        <w:rPr>
          <w:rFonts w:ascii="Times New Roman" w:hAnsi="Times New Roman" w:cs="Times New Roman"/>
          <w:color w:val="auto"/>
          <w:u w:val="single"/>
        </w:rPr>
      </w:pPr>
      <w:r w:rsidRPr="00917221">
        <w:rPr>
          <w:rFonts w:ascii="Times New Roman" w:hAnsi="Times New Roman" w:cs="Times New Roman"/>
          <w:color w:val="auto"/>
          <w:u w:val="single"/>
        </w:rPr>
        <w:t xml:space="preserve">Duodenal ülser tedavisinde </w:t>
      </w:r>
    </w:p>
    <w:p w:rsidR="00C9512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Günde </w:t>
      </w:r>
      <w:r w:rsidR="00917221" w:rsidRPr="00917221">
        <w:rPr>
          <w:rFonts w:ascii="Times New Roman" w:hAnsi="Times New Roman" w:cs="Times New Roman"/>
          <w:color w:val="auto"/>
        </w:rPr>
        <w:t xml:space="preserve">2 </w:t>
      </w:r>
      <w:r w:rsidRPr="00917221">
        <w:rPr>
          <w:rFonts w:ascii="Times New Roman" w:hAnsi="Times New Roman" w:cs="Times New Roman"/>
          <w:color w:val="auto"/>
        </w:rPr>
        <w:t xml:space="preserve">tablet PANDEV </w:t>
      </w:r>
      <w:r w:rsidR="00917221" w:rsidRPr="00917221">
        <w:rPr>
          <w:rFonts w:ascii="Times New Roman" w:hAnsi="Times New Roman" w:cs="Times New Roman"/>
          <w:color w:val="auto"/>
        </w:rPr>
        <w:t>2</w:t>
      </w:r>
      <w:r w:rsidR="00452DD3" w:rsidRPr="00917221">
        <w:rPr>
          <w:rFonts w:ascii="Times New Roman" w:hAnsi="Times New Roman" w:cs="Times New Roman"/>
          <w:color w:val="auto"/>
        </w:rPr>
        <w:t xml:space="preserve">0 mg </w:t>
      </w:r>
      <w:r w:rsidRPr="00917221">
        <w:rPr>
          <w:rFonts w:ascii="Times New Roman" w:hAnsi="Times New Roman" w:cs="Times New Roman"/>
          <w:color w:val="auto"/>
        </w:rPr>
        <w:t xml:space="preserve">alınır. Bilhassa, diğer tedavilere yanıt alınamaması gibi özel vakalarda doz iki katına çıkarılabilir (günde </w:t>
      </w:r>
      <w:r w:rsidR="00917221" w:rsidRPr="00917221">
        <w:rPr>
          <w:rFonts w:ascii="Times New Roman" w:hAnsi="Times New Roman" w:cs="Times New Roman"/>
          <w:color w:val="auto"/>
        </w:rPr>
        <w:t>4</w:t>
      </w:r>
      <w:r w:rsidRPr="00917221">
        <w:rPr>
          <w:rFonts w:ascii="Times New Roman" w:hAnsi="Times New Roman" w:cs="Times New Roman"/>
          <w:color w:val="auto"/>
        </w:rPr>
        <w:t xml:space="preserve"> adet PANDEV</w:t>
      </w:r>
      <w:r w:rsidRPr="00917221">
        <w:rPr>
          <w:rFonts w:ascii="Times New Roman" w:hAnsi="Times New Roman" w:cs="Times New Roman"/>
          <w:color w:val="auto"/>
          <w:vertAlign w:val="superscript"/>
        </w:rPr>
        <w:t xml:space="preserve"> </w:t>
      </w:r>
      <w:r w:rsidR="00917221" w:rsidRPr="00917221">
        <w:rPr>
          <w:rFonts w:ascii="Times New Roman" w:hAnsi="Times New Roman" w:cs="Times New Roman"/>
          <w:color w:val="auto"/>
        </w:rPr>
        <w:t>2</w:t>
      </w:r>
      <w:r w:rsidRPr="00917221">
        <w:rPr>
          <w:rFonts w:ascii="Times New Roman" w:hAnsi="Times New Roman" w:cs="Times New Roman"/>
          <w:color w:val="auto"/>
        </w:rPr>
        <w:t xml:space="preserve">0 mg). Duodenal ülser tedavisinde genellikle 2 haftalık bir periyod gereklidir. Eğer bu süre yeterli değilse, </w:t>
      </w:r>
      <w:r w:rsidR="00452DD3" w:rsidRPr="00917221">
        <w:rPr>
          <w:rFonts w:ascii="Times New Roman" w:hAnsi="Times New Roman" w:cs="Times New Roman"/>
          <w:color w:val="auto"/>
        </w:rPr>
        <w:t xml:space="preserve">vakaların tamamına yakınında ilave bir </w:t>
      </w:r>
      <w:r w:rsidRPr="00917221">
        <w:rPr>
          <w:rFonts w:ascii="Times New Roman" w:hAnsi="Times New Roman" w:cs="Times New Roman"/>
          <w:color w:val="auto"/>
        </w:rPr>
        <w:t>2 hafta</w:t>
      </w:r>
      <w:r w:rsidR="00452DD3" w:rsidRPr="00917221">
        <w:rPr>
          <w:rFonts w:ascii="Times New Roman" w:hAnsi="Times New Roman" w:cs="Times New Roman"/>
          <w:color w:val="auto"/>
        </w:rPr>
        <w:t>lık tedavi süresinde</w:t>
      </w:r>
      <w:r w:rsidRPr="00917221">
        <w:rPr>
          <w:rFonts w:ascii="Times New Roman" w:hAnsi="Times New Roman" w:cs="Times New Roman"/>
          <w:color w:val="auto"/>
        </w:rPr>
        <w:t xml:space="preserve"> iyileşme gözlenecektir. </w:t>
      </w:r>
    </w:p>
    <w:p w:rsidR="00C95123" w:rsidRPr="00917221" w:rsidRDefault="00C95123" w:rsidP="00FA660C">
      <w:pPr>
        <w:pStyle w:val="Default"/>
        <w:tabs>
          <w:tab w:val="left" w:pos="142"/>
        </w:tabs>
        <w:spacing w:line="360" w:lineRule="auto"/>
        <w:jc w:val="both"/>
        <w:rPr>
          <w:rFonts w:ascii="Times New Roman" w:hAnsi="Times New Roman" w:cs="Times New Roman"/>
          <w:color w:val="auto"/>
          <w:u w:val="single"/>
        </w:rPr>
      </w:pPr>
      <w:r w:rsidRPr="00917221">
        <w:rPr>
          <w:rFonts w:ascii="Times New Roman" w:hAnsi="Times New Roman" w:cs="Times New Roman"/>
          <w:color w:val="auto"/>
          <w:u w:val="single"/>
        </w:rPr>
        <w:lastRenderedPageBreak/>
        <w:t xml:space="preserve">Zollinger Ellison Sendromu’nun ve diğer patolojik hipersekresyonlu durumların uzun dönem tedavisinde </w:t>
      </w:r>
    </w:p>
    <w:p w:rsidR="00C9512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color w:val="auto"/>
        </w:rPr>
        <w:t>Tedaviye 80 mg’lık (</w:t>
      </w:r>
      <w:r w:rsidR="00917221" w:rsidRPr="00917221">
        <w:rPr>
          <w:rFonts w:ascii="Times New Roman" w:hAnsi="Times New Roman" w:cs="Times New Roman"/>
          <w:color w:val="auto"/>
        </w:rPr>
        <w:t>4</w:t>
      </w:r>
      <w:r w:rsidRPr="00917221">
        <w:rPr>
          <w:rFonts w:ascii="Times New Roman" w:hAnsi="Times New Roman" w:cs="Times New Roman"/>
          <w:color w:val="auto"/>
        </w:rPr>
        <w:t xml:space="preserve"> adet PANDEV</w:t>
      </w:r>
      <w:r w:rsidRPr="00917221">
        <w:rPr>
          <w:rFonts w:ascii="Times New Roman" w:hAnsi="Times New Roman" w:cs="Times New Roman"/>
          <w:color w:val="auto"/>
          <w:vertAlign w:val="superscript"/>
        </w:rPr>
        <w:t xml:space="preserve"> </w:t>
      </w:r>
      <w:r w:rsidR="00917221" w:rsidRPr="00917221">
        <w:rPr>
          <w:rFonts w:ascii="Times New Roman" w:hAnsi="Times New Roman" w:cs="Times New Roman"/>
          <w:color w:val="auto"/>
        </w:rPr>
        <w:t>2</w:t>
      </w:r>
      <w:r w:rsidRPr="00917221">
        <w:rPr>
          <w:rFonts w:ascii="Times New Roman" w:hAnsi="Times New Roman" w:cs="Times New Roman"/>
          <w:color w:val="auto"/>
        </w:rPr>
        <w:t>0 mg) günlük doz ile ba</w:t>
      </w:r>
      <w:r w:rsidR="00452DD3" w:rsidRPr="00917221">
        <w:rPr>
          <w:rFonts w:ascii="Times New Roman" w:hAnsi="Times New Roman" w:cs="Times New Roman"/>
          <w:color w:val="auto"/>
        </w:rPr>
        <w:t>şlanmalıdır. Bundan sonra doz,</w:t>
      </w:r>
      <w:r w:rsidRPr="00917221">
        <w:rPr>
          <w:rFonts w:ascii="Times New Roman" w:hAnsi="Times New Roman" w:cs="Times New Roman"/>
          <w:color w:val="auto"/>
        </w:rPr>
        <w:t xml:space="preserve"> gastrik asit sekresyonu ölçümleri esas alınarak gerektiği şekilde yükseltilebilir veya düşürülebilir. Günlük doz 80 mg’ın üzerinde olduğunda, doz bölünmeli ve günde 2 defa ver</w:t>
      </w:r>
      <w:r w:rsidR="00452DD3" w:rsidRPr="00917221">
        <w:rPr>
          <w:rFonts w:ascii="Times New Roman" w:hAnsi="Times New Roman" w:cs="Times New Roman"/>
          <w:color w:val="auto"/>
        </w:rPr>
        <w:t>ilmelidir. Pantoprazol dozunun</w:t>
      </w:r>
      <w:r w:rsidRPr="00917221">
        <w:rPr>
          <w:rFonts w:ascii="Times New Roman" w:hAnsi="Times New Roman" w:cs="Times New Roman"/>
          <w:color w:val="auto"/>
        </w:rPr>
        <w:t xml:space="preserve"> geçici olarak 160 mg’ın üzerine çıkarılması </w:t>
      </w:r>
      <w:r w:rsidR="00452DD3" w:rsidRPr="00917221">
        <w:rPr>
          <w:rFonts w:ascii="Times New Roman" w:hAnsi="Times New Roman" w:cs="Times New Roman"/>
          <w:color w:val="auto"/>
        </w:rPr>
        <w:t>mümkündür</w:t>
      </w:r>
      <w:r w:rsidRPr="00917221">
        <w:rPr>
          <w:rFonts w:ascii="Times New Roman" w:hAnsi="Times New Roman" w:cs="Times New Roman"/>
          <w:color w:val="auto"/>
        </w:rPr>
        <w:t xml:space="preserve">, </w:t>
      </w:r>
      <w:r w:rsidR="00452DD3" w:rsidRPr="00917221">
        <w:rPr>
          <w:rFonts w:ascii="Times New Roman" w:hAnsi="Times New Roman" w:cs="Times New Roman"/>
          <w:color w:val="auto"/>
        </w:rPr>
        <w:t>ancak</w:t>
      </w:r>
      <w:r w:rsidRPr="00917221">
        <w:rPr>
          <w:rFonts w:ascii="Times New Roman" w:hAnsi="Times New Roman" w:cs="Times New Roman"/>
          <w:color w:val="auto"/>
        </w:rPr>
        <w:t xml:space="preserve"> yeterli asit kontrolü için gerekenden daha uzun süre uygulanmamalıdır. Zollinger Ellison Sendromu’nda ve diğer patolojik hipersekresyonlu durumlarda tedavi süresi sınırlandırılmamış </w:t>
      </w:r>
      <w:r w:rsidR="00452DD3" w:rsidRPr="00917221">
        <w:rPr>
          <w:rFonts w:ascii="Times New Roman" w:hAnsi="Times New Roman" w:cs="Times New Roman"/>
          <w:color w:val="auto"/>
        </w:rPr>
        <w:t>ve</w:t>
      </w:r>
      <w:r w:rsidRPr="00917221">
        <w:rPr>
          <w:rFonts w:ascii="Times New Roman" w:hAnsi="Times New Roman" w:cs="Times New Roman"/>
          <w:color w:val="auto"/>
        </w:rPr>
        <w:t xml:space="preserve"> klinik </w:t>
      </w:r>
      <w:r w:rsidR="00452DD3" w:rsidRPr="00917221">
        <w:rPr>
          <w:rFonts w:ascii="Times New Roman" w:hAnsi="Times New Roman" w:cs="Times New Roman"/>
          <w:color w:val="auto"/>
        </w:rPr>
        <w:t>gereksinimlere</w:t>
      </w:r>
      <w:r w:rsidRPr="00917221">
        <w:rPr>
          <w:rFonts w:ascii="Times New Roman" w:hAnsi="Times New Roman" w:cs="Times New Roman"/>
          <w:color w:val="auto"/>
        </w:rPr>
        <w:t xml:space="preserve"> göre ayarlanabilir. </w:t>
      </w:r>
    </w:p>
    <w:p w:rsidR="00C95123" w:rsidRPr="00917221" w:rsidRDefault="00C95123" w:rsidP="004372F6">
      <w:pPr>
        <w:pStyle w:val="Default"/>
        <w:tabs>
          <w:tab w:val="left" w:pos="142"/>
        </w:tabs>
        <w:jc w:val="both"/>
        <w:rPr>
          <w:rFonts w:ascii="Times New Roman" w:hAnsi="Times New Roman" w:cs="Times New Roman"/>
          <w:color w:val="auto"/>
        </w:rPr>
      </w:pPr>
    </w:p>
    <w:p w:rsidR="00C9512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b/>
          <w:bCs/>
          <w:color w:val="auto"/>
        </w:rPr>
        <w:t xml:space="preserve">Uygulama </w:t>
      </w:r>
      <w:r w:rsidRPr="00917221">
        <w:rPr>
          <w:rFonts w:ascii="Times New Roman" w:hAnsi="Times New Roman" w:cs="Times New Roman"/>
          <w:color w:val="auto"/>
        </w:rPr>
        <w:t>ş</w:t>
      </w:r>
      <w:r w:rsidRPr="00917221">
        <w:rPr>
          <w:rFonts w:ascii="Times New Roman" w:hAnsi="Times New Roman" w:cs="Times New Roman"/>
          <w:b/>
          <w:bCs/>
          <w:color w:val="auto"/>
        </w:rPr>
        <w:t xml:space="preserve">ekli: </w:t>
      </w:r>
    </w:p>
    <w:p w:rsidR="00452DD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color w:val="auto"/>
        </w:rPr>
        <w:t>PANDEV</w:t>
      </w:r>
      <w:r w:rsidRPr="00917221">
        <w:rPr>
          <w:rFonts w:ascii="Times New Roman" w:hAnsi="Times New Roman" w:cs="Times New Roman"/>
          <w:color w:val="auto"/>
          <w:vertAlign w:val="superscript"/>
        </w:rPr>
        <w:t xml:space="preserve"> </w:t>
      </w:r>
      <w:r w:rsidRPr="00917221">
        <w:rPr>
          <w:rFonts w:ascii="Times New Roman" w:hAnsi="Times New Roman" w:cs="Times New Roman"/>
          <w:color w:val="auto"/>
        </w:rPr>
        <w:t xml:space="preserve">çiğnenmemeli veya kırılmamalı; yemekten bir saat önce su ile bütün olarak yutulmalıdır. </w:t>
      </w:r>
    </w:p>
    <w:p w:rsidR="00452DD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İlacın alınması unutulduğunda, gecikmiş olan doz alınmamalıdır. Tedavi, hastanın doz şemasına göre, bir sonraki dozdan itibaren sürdürülmelidir. </w:t>
      </w:r>
    </w:p>
    <w:p w:rsidR="00C9512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color w:val="auto"/>
        </w:rPr>
        <w:t>PANDEV</w:t>
      </w:r>
      <w:r w:rsidRPr="00917221">
        <w:rPr>
          <w:rFonts w:ascii="Times New Roman" w:hAnsi="Times New Roman" w:cs="Times New Roman"/>
          <w:color w:val="auto"/>
          <w:vertAlign w:val="superscript"/>
        </w:rPr>
        <w:t xml:space="preserve"> </w:t>
      </w:r>
      <w:r w:rsidRPr="00917221">
        <w:rPr>
          <w:rFonts w:ascii="Times New Roman" w:hAnsi="Times New Roman" w:cs="Times New Roman"/>
          <w:color w:val="auto"/>
        </w:rPr>
        <w:t xml:space="preserve">ile tedavinin erken kesilmesi veya tedaviye ara verilmesi konusunda hekime danışılmalıdır. </w:t>
      </w:r>
    </w:p>
    <w:p w:rsidR="00C95123" w:rsidRPr="00917221" w:rsidRDefault="00C95123" w:rsidP="004372F6">
      <w:pPr>
        <w:pStyle w:val="Default"/>
        <w:tabs>
          <w:tab w:val="left" w:pos="142"/>
        </w:tabs>
        <w:jc w:val="both"/>
        <w:rPr>
          <w:rFonts w:ascii="Times New Roman" w:hAnsi="Times New Roman" w:cs="Times New Roman"/>
          <w:color w:val="auto"/>
        </w:rPr>
      </w:pPr>
    </w:p>
    <w:p w:rsidR="00C9512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b/>
          <w:bCs/>
          <w:color w:val="auto"/>
        </w:rPr>
        <w:t>Özel popülasyonlara ili</w:t>
      </w:r>
      <w:r w:rsidRPr="00917221">
        <w:rPr>
          <w:rFonts w:ascii="Times New Roman" w:hAnsi="Times New Roman" w:cs="Times New Roman"/>
          <w:color w:val="auto"/>
        </w:rPr>
        <w:t>ş</w:t>
      </w:r>
      <w:r w:rsidRPr="00917221">
        <w:rPr>
          <w:rFonts w:ascii="Times New Roman" w:hAnsi="Times New Roman" w:cs="Times New Roman"/>
          <w:b/>
          <w:bCs/>
          <w:color w:val="auto"/>
        </w:rPr>
        <w:t xml:space="preserve">kin ek bilgiler: </w:t>
      </w:r>
    </w:p>
    <w:p w:rsidR="00C9512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b/>
          <w:bCs/>
          <w:color w:val="auto"/>
        </w:rPr>
        <w:t>Böbrek yetmezli</w:t>
      </w:r>
      <w:r w:rsidRPr="00917221">
        <w:rPr>
          <w:rFonts w:ascii="Times New Roman" w:hAnsi="Times New Roman" w:cs="Times New Roman"/>
          <w:color w:val="auto"/>
        </w:rPr>
        <w:t>ğ</w:t>
      </w:r>
      <w:r w:rsidRPr="00917221">
        <w:rPr>
          <w:rFonts w:ascii="Times New Roman" w:hAnsi="Times New Roman" w:cs="Times New Roman"/>
          <w:b/>
          <w:bCs/>
          <w:color w:val="auto"/>
        </w:rPr>
        <w:t xml:space="preserve">i: </w:t>
      </w:r>
    </w:p>
    <w:p w:rsidR="00C9512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Böbrek fonksiyonu bozulmuş hastalarda doz ayarlamasına gerek yoktur. Böbrek yetmezliği olan hastalarda PANDEV’in kombine tedavisine dair etkililik ve güvenlilik ile ilgili veri olmadığından, bu hastalarda </w:t>
      </w:r>
      <w:r w:rsidRPr="00917221">
        <w:rPr>
          <w:rFonts w:ascii="Times New Roman" w:hAnsi="Times New Roman" w:cs="Times New Roman"/>
          <w:i/>
          <w:iCs/>
          <w:color w:val="auto"/>
        </w:rPr>
        <w:t xml:space="preserve">H.pylori </w:t>
      </w:r>
      <w:r w:rsidRPr="00917221">
        <w:rPr>
          <w:rFonts w:ascii="Times New Roman" w:hAnsi="Times New Roman" w:cs="Times New Roman"/>
          <w:color w:val="auto"/>
        </w:rPr>
        <w:t>eradikasyonu için PANDEV</w:t>
      </w:r>
      <w:r w:rsidRPr="00917221">
        <w:rPr>
          <w:rFonts w:ascii="Times New Roman" w:hAnsi="Times New Roman" w:cs="Times New Roman"/>
          <w:color w:val="auto"/>
          <w:vertAlign w:val="superscript"/>
        </w:rPr>
        <w:t xml:space="preserve"> </w:t>
      </w:r>
      <w:r w:rsidRPr="00917221">
        <w:rPr>
          <w:rFonts w:ascii="Times New Roman" w:hAnsi="Times New Roman" w:cs="Times New Roman"/>
          <w:color w:val="auto"/>
        </w:rPr>
        <w:t xml:space="preserve">ile kombine tedavi uygulanamamalıdır. </w:t>
      </w:r>
    </w:p>
    <w:p w:rsidR="00C9512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b/>
          <w:bCs/>
          <w:color w:val="auto"/>
        </w:rPr>
        <w:t>Karaci</w:t>
      </w:r>
      <w:r w:rsidRPr="00917221">
        <w:rPr>
          <w:rFonts w:ascii="Times New Roman" w:hAnsi="Times New Roman" w:cs="Times New Roman"/>
          <w:color w:val="auto"/>
        </w:rPr>
        <w:t>ğ</w:t>
      </w:r>
      <w:r w:rsidRPr="00917221">
        <w:rPr>
          <w:rFonts w:ascii="Times New Roman" w:hAnsi="Times New Roman" w:cs="Times New Roman"/>
          <w:b/>
          <w:bCs/>
          <w:color w:val="auto"/>
        </w:rPr>
        <w:t>er yetmezli</w:t>
      </w:r>
      <w:r w:rsidRPr="00917221">
        <w:rPr>
          <w:rFonts w:ascii="Times New Roman" w:hAnsi="Times New Roman" w:cs="Times New Roman"/>
          <w:color w:val="auto"/>
        </w:rPr>
        <w:t>ğ</w:t>
      </w:r>
      <w:r w:rsidRPr="00917221">
        <w:rPr>
          <w:rFonts w:ascii="Times New Roman" w:hAnsi="Times New Roman" w:cs="Times New Roman"/>
          <w:b/>
          <w:bCs/>
          <w:color w:val="auto"/>
        </w:rPr>
        <w:t xml:space="preserve">i: </w:t>
      </w:r>
    </w:p>
    <w:p w:rsidR="00C95123" w:rsidRPr="00917221" w:rsidRDefault="00452DD3" w:rsidP="00FA660C">
      <w:pPr>
        <w:pStyle w:val="Default"/>
        <w:spacing w:line="360" w:lineRule="auto"/>
        <w:jc w:val="both"/>
        <w:rPr>
          <w:rFonts w:ascii="Times New Roman" w:eastAsiaTheme="minorHAnsi" w:hAnsi="Times New Roman" w:cs="Times New Roman"/>
          <w:color w:val="auto"/>
          <w:lang w:eastAsia="en-US"/>
        </w:rPr>
      </w:pPr>
      <w:r w:rsidRPr="00917221">
        <w:rPr>
          <w:rFonts w:ascii="Times New Roman" w:hAnsi="Times New Roman" w:cs="Times New Roman"/>
          <w:color w:val="auto"/>
        </w:rPr>
        <w:t>Ağır</w:t>
      </w:r>
      <w:r w:rsidR="00C95123" w:rsidRPr="00917221">
        <w:rPr>
          <w:rFonts w:ascii="Times New Roman" w:hAnsi="Times New Roman" w:cs="Times New Roman"/>
          <w:color w:val="auto"/>
        </w:rPr>
        <w:t xml:space="preserve"> karaciğer yetmezliği olan hastalarda günlük 20 mg pantoprazol dozu </w:t>
      </w:r>
      <w:r w:rsidRPr="00917221">
        <w:rPr>
          <w:rFonts w:ascii="Times New Roman" w:hAnsi="Times New Roman" w:cs="Times New Roman"/>
          <w:color w:val="auto"/>
        </w:rPr>
        <w:t xml:space="preserve">(1 adet PANDEV 20 mg) </w:t>
      </w:r>
      <w:r w:rsidR="00C95123" w:rsidRPr="00917221">
        <w:rPr>
          <w:rFonts w:ascii="Times New Roman" w:hAnsi="Times New Roman" w:cs="Times New Roman"/>
          <w:color w:val="auto"/>
        </w:rPr>
        <w:t xml:space="preserve">aşılmamalıdır. Orta ve ağır derecede karaciğer yetmezliği olan hastalarda PANDEV’in kombine tedavisine dair etkililik ve güvenlilik ile ilgili veri olmadığından, bu hastalarda </w:t>
      </w:r>
      <w:r w:rsidR="00C95123" w:rsidRPr="00917221">
        <w:rPr>
          <w:rFonts w:ascii="Times New Roman" w:hAnsi="Times New Roman" w:cs="Times New Roman"/>
          <w:i/>
          <w:iCs/>
          <w:color w:val="auto"/>
        </w:rPr>
        <w:t xml:space="preserve">H.pylori </w:t>
      </w:r>
      <w:r w:rsidR="00C95123" w:rsidRPr="00917221">
        <w:rPr>
          <w:rFonts w:ascii="Times New Roman" w:hAnsi="Times New Roman" w:cs="Times New Roman"/>
          <w:color w:val="auto"/>
        </w:rPr>
        <w:t>eradikasyonu için PANDEV</w:t>
      </w:r>
      <w:r w:rsidR="00C95123" w:rsidRPr="00917221">
        <w:rPr>
          <w:rFonts w:ascii="Times New Roman" w:hAnsi="Times New Roman" w:cs="Times New Roman"/>
          <w:color w:val="auto"/>
          <w:vertAlign w:val="superscript"/>
        </w:rPr>
        <w:t xml:space="preserve"> </w:t>
      </w:r>
      <w:r w:rsidR="00C95123" w:rsidRPr="00917221">
        <w:rPr>
          <w:rFonts w:ascii="Times New Roman" w:hAnsi="Times New Roman" w:cs="Times New Roman"/>
          <w:color w:val="auto"/>
        </w:rPr>
        <w:t xml:space="preserve">ile kombine tedavi uygulanamamalıdır. </w:t>
      </w:r>
      <w:r w:rsidRPr="00917221">
        <w:rPr>
          <w:rFonts w:ascii="Times New Roman" w:eastAsiaTheme="minorHAnsi" w:hAnsi="Times New Roman" w:cs="Times New Roman"/>
          <w:color w:val="auto"/>
          <w:lang w:eastAsia="en-US"/>
        </w:rPr>
        <w:t xml:space="preserve"> Ağır karaciğer yetmezliği olan hastalarda tedavi sırasında, özellikle de uzun süreli kullanımda karaciğer enzimleri düzenli olarak izlenmelidir. Karaciğer enzimlerinin yükselmesi durumunda PANDEV</w:t>
      </w:r>
      <w:r w:rsidRPr="00917221">
        <w:rPr>
          <w:rFonts w:ascii="Times New Roman" w:eastAsiaTheme="minorHAnsi" w:hAnsi="Times New Roman" w:cs="Times New Roman"/>
          <w:color w:val="auto"/>
          <w:position w:val="8"/>
          <w:vertAlign w:val="superscript"/>
          <w:lang w:eastAsia="en-US"/>
        </w:rPr>
        <w:t xml:space="preserve"> </w:t>
      </w:r>
      <w:r w:rsidRPr="00917221">
        <w:rPr>
          <w:rFonts w:ascii="Times New Roman" w:eastAsiaTheme="minorHAnsi" w:hAnsi="Times New Roman" w:cs="Times New Roman"/>
          <w:color w:val="auto"/>
          <w:lang w:eastAsia="en-US"/>
        </w:rPr>
        <w:t>kullanımı kesilmelidir.</w:t>
      </w:r>
    </w:p>
    <w:p w:rsidR="00452DD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b/>
          <w:bCs/>
          <w:color w:val="auto"/>
        </w:rPr>
        <w:t xml:space="preserve">Pediyatrik popülasyon: </w:t>
      </w:r>
    </w:p>
    <w:p w:rsidR="00C95123" w:rsidRPr="00917221" w:rsidRDefault="00452DD3" w:rsidP="00FA660C">
      <w:pPr>
        <w:pStyle w:val="Default"/>
        <w:tabs>
          <w:tab w:val="left" w:pos="142"/>
        </w:tabs>
        <w:spacing w:line="360" w:lineRule="auto"/>
        <w:jc w:val="both"/>
        <w:rPr>
          <w:rFonts w:ascii="Times New Roman" w:hAnsi="Times New Roman" w:cs="Times New Roman"/>
          <w:color w:val="auto"/>
        </w:rPr>
      </w:pPr>
      <w:r w:rsidRPr="00917221">
        <w:rPr>
          <w:rFonts w:ascii="Times New Roman" w:eastAsiaTheme="minorHAnsi" w:hAnsi="Times New Roman" w:cs="Times New Roman"/>
          <w:color w:val="auto"/>
          <w:lang w:eastAsia="en-US"/>
        </w:rPr>
        <w:t xml:space="preserve">12 yaşın altındaki çocuklarda etkililik ve güvenliliğine ilişkin kısıtlı veri bulunması nedeniyle, PANDEV ’in, bu yaş grubundaki çocuklarda 40 miligramlık dozda kullanılması </w:t>
      </w:r>
      <w:r w:rsidRPr="00917221">
        <w:rPr>
          <w:rFonts w:ascii="Times New Roman" w:eastAsiaTheme="minorHAnsi" w:hAnsi="Times New Roman" w:cs="Times New Roman"/>
          <w:color w:val="auto"/>
          <w:lang w:eastAsia="en-US"/>
        </w:rPr>
        <w:lastRenderedPageBreak/>
        <w:t>önerilmemektedir. (5-12 yaş arası çocuklar için PANDEV</w:t>
      </w:r>
      <w:r w:rsidRPr="00917221">
        <w:rPr>
          <w:rFonts w:ascii="Times New Roman" w:eastAsiaTheme="minorHAnsi" w:hAnsi="Times New Roman" w:cs="Times New Roman"/>
          <w:color w:val="auto"/>
          <w:position w:val="8"/>
          <w:vertAlign w:val="superscript"/>
          <w:lang w:eastAsia="en-US"/>
        </w:rPr>
        <w:t xml:space="preserve"> </w:t>
      </w:r>
      <w:r w:rsidRPr="00917221">
        <w:rPr>
          <w:rFonts w:ascii="Times New Roman" w:eastAsiaTheme="minorHAnsi" w:hAnsi="Times New Roman" w:cs="Times New Roman"/>
          <w:color w:val="auto"/>
          <w:lang w:eastAsia="en-US"/>
        </w:rPr>
        <w:t xml:space="preserve">20 mg tercih edilmelidir.) </w:t>
      </w:r>
      <w:r w:rsidR="00C95123" w:rsidRPr="00917221">
        <w:rPr>
          <w:rFonts w:ascii="Times New Roman" w:hAnsi="Times New Roman" w:cs="Times New Roman"/>
          <w:b/>
          <w:bCs/>
          <w:color w:val="auto"/>
        </w:rPr>
        <w:t xml:space="preserve">Geriyatrik popülasyon: </w:t>
      </w:r>
    </w:p>
    <w:p w:rsidR="00C95123" w:rsidRPr="00917221" w:rsidRDefault="00C95123" w:rsidP="00FA660C">
      <w:pPr>
        <w:pStyle w:val="Default"/>
        <w:tabs>
          <w:tab w:val="left" w:pos="142"/>
        </w:tabs>
        <w:spacing w:line="360" w:lineRule="auto"/>
        <w:jc w:val="both"/>
        <w:rPr>
          <w:rFonts w:ascii="Times New Roman" w:hAnsi="Times New Roman" w:cs="Times New Roman"/>
          <w:color w:val="auto"/>
        </w:rPr>
      </w:pPr>
      <w:r w:rsidRPr="00917221">
        <w:rPr>
          <w:rFonts w:ascii="Times New Roman" w:hAnsi="Times New Roman" w:cs="Times New Roman"/>
          <w:color w:val="auto"/>
        </w:rPr>
        <w:t xml:space="preserve">Yaşlılarda doz ayarlamasına gerek yoktur. </w:t>
      </w:r>
    </w:p>
    <w:p w:rsidR="008269AF" w:rsidRPr="006E16EB" w:rsidRDefault="008269AF" w:rsidP="004372F6">
      <w:pPr>
        <w:pStyle w:val="Default"/>
        <w:tabs>
          <w:tab w:val="left" w:pos="142"/>
        </w:tabs>
        <w:jc w:val="both"/>
        <w:rPr>
          <w:rFonts w:ascii="Times New Roman" w:hAnsi="Times New Roman" w:cs="Times New Roman"/>
          <w:color w:val="000000" w:themeColor="text1"/>
        </w:rPr>
      </w:pPr>
    </w:p>
    <w:p w:rsidR="002F542A"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4.3 Kontrendikasyonlar </w:t>
      </w:r>
    </w:p>
    <w:p w:rsidR="00141FF1" w:rsidRPr="006E16EB" w:rsidRDefault="002F542A" w:rsidP="00FA660C">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hAnsi="Times New Roman" w:cs="Times New Roman"/>
          <w:color w:val="000000" w:themeColor="text1"/>
        </w:rPr>
        <w:t>PANDEV</w:t>
      </w:r>
      <w:r w:rsidRPr="006E16EB">
        <w:rPr>
          <w:rFonts w:ascii="Times New Roman" w:eastAsiaTheme="minorHAnsi" w:hAnsi="Times New Roman" w:cs="Times New Roman"/>
          <w:color w:val="auto"/>
          <w:lang w:eastAsia="en-US"/>
        </w:rPr>
        <w:t>, bileşimindeki etkin maddeye, dallanmış benzimidazollere veya bileşiminde bulunan diğer yardımcı maddelerden herhangi birine veya kombinasyonda birlikte kullanılan diğer ilaçlara karşı aşırı duyarlılığı bilinen hastalarda kullanılmamalıdır.</w:t>
      </w:r>
    </w:p>
    <w:p w:rsidR="002F542A" w:rsidRPr="006E16EB" w:rsidRDefault="002F542A" w:rsidP="004372F6">
      <w:pPr>
        <w:pStyle w:val="Default"/>
        <w:tabs>
          <w:tab w:val="left" w:pos="142"/>
        </w:tabs>
        <w:jc w:val="both"/>
        <w:rPr>
          <w:rFonts w:ascii="Times New Roman" w:hAnsi="Times New Roman" w:cs="Times New Roman"/>
          <w:color w:val="000000" w:themeColor="text1"/>
        </w:rPr>
      </w:pPr>
    </w:p>
    <w:p w:rsidR="0047337F"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4.4 Özel kullanım uyarıları ve önlemleri </w:t>
      </w:r>
    </w:p>
    <w:p w:rsidR="000B571A"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Karaciğer yetmezliği:</w:t>
      </w:r>
    </w:p>
    <w:p w:rsidR="00C95123"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Ağır</w:t>
      </w:r>
      <w:r w:rsidR="00C95123" w:rsidRPr="006E16EB">
        <w:rPr>
          <w:rFonts w:ascii="Times New Roman" w:hAnsi="Times New Roman" w:cs="Times New Roman"/>
          <w:color w:val="000000" w:themeColor="text1"/>
        </w:rPr>
        <w:t xml:space="preserve"> karaciğer </w:t>
      </w:r>
      <w:r w:rsidRPr="006E16EB">
        <w:rPr>
          <w:rFonts w:ascii="Times New Roman" w:hAnsi="Times New Roman" w:cs="Times New Roman"/>
          <w:color w:val="000000" w:themeColor="text1"/>
        </w:rPr>
        <w:t>yetmezliği</w:t>
      </w:r>
      <w:r w:rsidR="00C95123" w:rsidRPr="006E16EB">
        <w:rPr>
          <w:rFonts w:ascii="Times New Roman" w:hAnsi="Times New Roman" w:cs="Times New Roman"/>
          <w:color w:val="000000" w:themeColor="text1"/>
        </w:rPr>
        <w:t xml:space="preserve"> olan hastalarda pantoprazol ile tedavi sırasında, özellikle de uzun süreli kullanımda, karaciğer enzimleri düzenli olarak izlenmelidir. Karaciğer enzimlerinin yükselmesi durumunda PANDEV kullanımı kesilmelidir. </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Kombine tedavi:</w:t>
      </w:r>
    </w:p>
    <w:p w:rsidR="0047337F"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Kombine tedavi sırasında diğer ilaçların ürün bilgileri göz önüne alınmalıdır. </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Alarm semptomlarının varlığı:</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Herhangi bir alarm semptomunun varlığında (örn. beklenmeyen kilo kaybı, tekrarlayan kusmalar, disfaji, hematemez, anemi veya melena) ve gastrik ülser şüphesinde ya da varlığında, malinite olasılığı </w:t>
      </w:r>
      <w:r w:rsidR="0047337F" w:rsidRPr="006E16EB">
        <w:rPr>
          <w:rFonts w:ascii="Times New Roman" w:hAnsi="Times New Roman" w:cs="Times New Roman"/>
          <w:color w:val="000000" w:themeColor="text1"/>
        </w:rPr>
        <w:t>dışlanmalıdır.</w:t>
      </w:r>
      <w:r w:rsidRPr="006E16EB">
        <w:rPr>
          <w:rFonts w:ascii="Times New Roman" w:hAnsi="Times New Roman" w:cs="Times New Roman"/>
          <w:color w:val="000000" w:themeColor="text1"/>
        </w:rPr>
        <w:t xml:space="preserve"> </w:t>
      </w:r>
      <w:r w:rsidR="0047337F" w:rsidRPr="006E16EB">
        <w:rPr>
          <w:rFonts w:ascii="Times New Roman" w:hAnsi="Times New Roman" w:cs="Times New Roman"/>
          <w:color w:val="000000" w:themeColor="text1"/>
        </w:rPr>
        <w:t>Ç</w:t>
      </w:r>
      <w:r w:rsidRPr="006E16EB">
        <w:rPr>
          <w:rFonts w:ascii="Times New Roman" w:hAnsi="Times New Roman" w:cs="Times New Roman"/>
          <w:color w:val="000000" w:themeColor="text1"/>
        </w:rPr>
        <w:t>ünkü pantoprazol</w:t>
      </w:r>
      <w:r w:rsidR="0047337F"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semptomları baskılayabilir ve tanının gecikmesine neden olabilir. </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Uygun</w:t>
      </w:r>
      <w:r w:rsidR="00C95123" w:rsidRPr="006E16EB">
        <w:rPr>
          <w:rFonts w:ascii="Times New Roman" w:hAnsi="Times New Roman" w:cs="Times New Roman"/>
          <w:color w:val="000000" w:themeColor="text1"/>
        </w:rPr>
        <w:t xml:space="preserve"> tedaviye rağmen semptomlar hala devam ediyorsa ileri tetkikler yapılmalıdır. </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Atazanavir ile birlikte kullanım:</w:t>
      </w:r>
    </w:p>
    <w:p w:rsidR="0047337F" w:rsidRPr="006E16EB" w:rsidRDefault="00C95123"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Atazanavir ile proton pompası inhibitörlerinin birlikte uygulanması tavsiye edilmez. (bkz. Bölüm 4.5) Eğer atazanavir ile bir proton pompası inhibitörünün kombinasyonu zorunlu ise, </w:t>
      </w:r>
    </w:p>
    <w:p w:rsidR="0047337F" w:rsidRPr="006E16EB" w:rsidRDefault="0047337F" w:rsidP="00FA660C">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eastAsiaTheme="minorHAnsi" w:hAnsi="Times New Roman" w:cs="Times New Roman"/>
          <w:color w:val="auto"/>
          <w:lang w:eastAsia="en-US"/>
        </w:rPr>
        <w:t>atazanavir dozunun 400 mg’a yükseltilmesi ve tedaviye 100 mg ritonavir eklenmesi ve hastanın klinik açıdan dikkatle izlenmesi (örn. viral yük) önerilir. Günlük 20 mg pantoprazol dozu aşılmamalıdır.</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B12 vitamini emilimi üzerindeki etki:</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lang w:eastAsia="en-US"/>
        </w:rPr>
        <w:t>Zollinger-Ellison sendromu ve uzun süreli tedavi gerektiren diğer patalojik hipersekresyon durumlarında pantoprazol, tüm diğer asit bloke edici ilaçlar gibi, hipoklorhidri veya aklorhidriye bağlı olarak B12 vitamini (siyanokobalamin) emilimini azaltabilir. Bu durum, B12 vitamini vücut stokları azalmış veya emiliminin azalması yönünde risk faktörleri olan uzun süreli tedavi gören hastalarda ya da ilgili klinik semptomların gözlenmesi durumunda göz önünde bulundurulmalıdır.</w:t>
      </w:r>
    </w:p>
    <w:p w:rsidR="0047337F" w:rsidRPr="006E16EB" w:rsidRDefault="0047337F"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lastRenderedPageBreak/>
        <w:t>Uzun süreli tedavi:</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Özellikle 1 yıllık sürenin aşıldığı uzun süreli tedavilerde, hastalar düzenli olarak gözlenmelidir.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 xml:space="preserve">Kemik kırığı: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Yayınlanmış çeşitli gözlemsel çalışmalar, proton pompası inhibitörü (PPİ) tedavisinin, kalça, el bileği ya da omurgada osteoporoza bağlı kırık riskinde bir artışla ilişkili olabileceğini düşündürmektedir. Çoklu günlük dozlar ve uzun süreli PPİ tedavisi (bir yıl ya da daha fazla) şeklinde tanımlanan yüksek doz alan hastalarda kırık riski artmıştır. Hastalar, tedavi edildikleri durum için uygun olan en düşük dozda ve en kısa süreli PPİ tedavisini almalıdırlar.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Hipomagnezemi: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PPİ’lerle en az 3 ay süreyle tedavi edilen hastalarda ve çoğu olguda da bir yıl tedaviden sonra nadiren semptomatik ve asemptomatik hipomagnezemi bildirilmiştir. Ciddi advers olaylar tetani, aritmiler ve nöbetleri içermektedir. Çoğu hastada hipomagnezemi tedavisi magnezyum replasmanını ve PPİ tedavisinin kesilmesini gerektirmektedir. Uzun süre tedavi alması beklenen ya da PPİ’leri digoksin gibi ilaçlar ya da hipomagnezemiye neden olabilecek ilaçlarla (örn. diüretikler) birlikte alan hastalar için, sağlık mesleği mensupları PPİ tedavisine başlamadan önce ve daha sonra periyodik olarak magnezyum düzeylerini takip edebilirler.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Nöroendokrin tümörler için yapılan incelemelerle etkileşimler: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Gastrik asit düzeyindeki ilaç kaynaklı azalmalara sekonder olarak serum kromogranin A (CgA) düzeyleri artmaktadır. Artmış CgA düzeyi nöroendokrin tümörler için yapılan tanı incelemelerinde yanlış pozitif sonuçlara yol açabilir. Uygulayıcılar CgA düzeylerini değerlendirmeden önce geçici olarak PPİ tedavisine ara vermeli ve eğer başlangıçtaki CgA düzeyleri yüksek ise testi tekrar etmelidirler. Eğer seri testler yapılıyorsa (örn. monitorizasyon için), testler arasındaki referans aralıkları değişebileceği için testler aynı laboratuarda yapılmalıdır.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eastAsiaTheme="minorHAnsi" w:hAnsi="Times New Roman" w:cs="Times New Roman"/>
          <w:color w:val="auto"/>
          <w:u w:val="single"/>
          <w:lang w:eastAsia="en-US"/>
        </w:rPr>
        <w:t>Non-steroidal Anti-inflamatuar İlaçlar (</w:t>
      </w:r>
      <w:r w:rsidRPr="006E16EB">
        <w:rPr>
          <w:rFonts w:ascii="Times New Roman" w:hAnsi="Times New Roman" w:cs="Times New Roman"/>
          <w:color w:val="000000" w:themeColor="text1"/>
          <w:u w:val="single"/>
        </w:rPr>
        <w:t xml:space="preserve">NSAİİ) ile birlikte kullanım: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Seçici olmayan NSAİİ’lerin indüklediği gastroduodenal ülserin önlenmesi amacıyla PANDEV kullanımı, sürekli NSAİİ tedavisine ihtiyaç duyan ve gastrointestinal komplikasyonlar geliştirme riski yüksek olan hastalarla sınırlandırılmalıdır. Yüksek risk, yaşlılık (65 yaş üzeri), gastrik veya duodenal ülser hikâyesi veya üst gastrointestinal kanama hikâyesi gibi bireysel risk faktörlerine göre değerlendirilmelidir. </w:t>
      </w:r>
    </w:p>
    <w:p w:rsidR="00F627A7" w:rsidRPr="006E16EB" w:rsidRDefault="00F627A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Bakterilerin yol açtığı gastrointestinal enfeksiyonlar: </w:t>
      </w:r>
    </w:p>
    <w:p w:rsidR="006E16EB" w:rsidRPr="00D241DF" w:rsidRDefault="00F627A7" w:rsidP="006E16EB">
      <w:pPr>
        <w:pStyle w:val="Default"/>
        <w:spacing w:line="360" w:lineRule="auto"/>
        <w:jc w:val="both"/>
        <w:rPr>
          <w:rFonts w:ascii="Times New Roman" w:eastAsiaTheme="minorHAnsi" w:hAnsi="Times New Roman" w:cs="Times New Roman"/>
          <w:color w:val="auto"/>
          <w:lang w:eastAsia="en-US"/>
        </w:rPr>
      </w:pPr>
      <w:r w:rsidRPr="006E16EB">
        <w:rPr>
          <w:rFonts w:ascii="Times New Roman" w:hAnsi="Times New Roman" w:cs="Times New Roman"/>
          <w:color w:val="000000" w:themeColor="text1"/>
        </w:rPr>
        <w:t xml:space="preserve">Bütün </w:t>
      </w:r>
      <w:r w:rsidRPr="006E16EB">
        <w:rPr>
          <w:rFonts w:ascii="Times New Roman" w:eastAsiaTheme="minorHAnsi" w:hAnsi="Times New Roman" w:cs="Times New Roman"/>
          <w:color w:val="auto"/>
          <w:lang w:eastAsia="en-US"/>
        </w:rPr>
        <w:t>proton pompası inhibitörleri</w:t>
      </w:r>
      <w:r w:rsidRPr="006E16EB">
        <w:rPr>
          <w:rFonts w:ascii="Times New Roman" w:hAnsi="Times New Roman" w:cs="Times New Roman"/>
          <w:color w:val="000000" w:themeColor="text1"/>
        </w:rPr>
        <w:t xml:space="preserve"> gibi pantoprazolün de üst gastrointestinal sistemde </w:t>
      </w:r>
      <w:r w:rsidRPr="006E16EB">
        <w:rPr>
          <w:rFonts w:ascii="Times New Roman" w:hAnsi="Times New Roman" w:cs="Times New Roman"/>
          <w:color w:val="000000" w:themeColor="text1"/>
        </w:rPr>
        <w:lastRenderedPageBreak/>
        <w:t xml:space="preserve">normal olarak bulunan bakteri sayısını artırması beklenebilir. PANDEV ile tedavi, </w:t>
      </w:r>
      <w:r w:rsidRPr="00D241DF">
        <w:rPr>
          <w:rFonts w:ascii="Times New Roman" w:hAnsi="Times New Roman" w:cs="Times New Roman"/>
          <w:i/>
          <w:iCs/>
          <w:color w:val="000000" w:themeColor="text1"/>
        </w:rPr>
        <w:t xml:space="preserve">Salmonella </w:t>
      </w:r>
      <w:r w:rsidRPr="00D241DF">
        <w:rPr>
          <w:rFonts w:ascii="Times New Roman" w:hAnsi="Times New Roman" w:cs="Times New Roman"/>
          <w:color w:val="000000" w:themeColor="text1"/>
        </w:rPr>
        <w:t xml:space="preserve">ve </w:t>
      </w:r>
      <w:r w:rsidRPr="00D241DF">
        <w:rPr>
          <w:rFonts w:ascii="Times New Roman" w:hAnsi="Times New Roman" w:cs="Times New Roman"/>
          <w:i/>
          <w:iCs/>
          <w:color w:val="000000" w:themeColor="text1"/>
        </w:rPr>
        <w:t xml:space="preserve">Campylobacter </w:t>
      </w:r>
      <w:r w:rsidRPr="00D241DF">
        <w:rPr>
          <w:rFonts w:ascii="Times New Roman" w:hAnsi="Times New Roman" w:cs="Times New Roman"/>
          <w:color w:val="000000" w:themeColor="text1"/>
        </w:rPr>
        <w:t xml:space="preserve">gibi bakterilerin yol açtığı gastrointestinal enfeksiyon </w:t>
      </w:r>
      <w:r w:rsidRPr="00D241DF">
        <w:rPr>
          <w:rFonts w:ascii="Times New Roman" w:eastAsiaTheme="minorHAnsi" w:hAnsi="Times New Roman" w:cs="Times New Roman"/>
          <w:color w:val="auto"/>
          <w:lang w:eastAsia="en-US"/>
        </w:rPr>
        <w:t>riskinde az da olsa bir artışa neden olabilir (bkz. Bölüm 5.1)</w:t>
      </w:r>
    </w:p>
    <w:p w:rsidR="00141FF1" w:rsidRPr="00D241DF" w:rsidRDefault="006E16EB" w:rsidP="006E16EB">
      <w:pPr>
        <w:pStyle w:val="Default"/>
        <w:tabs>
          <w:tab w:val="left" w:pos="142"/>
        </w:tabs>
        <w:spacing w:line="360" w:lineRule="auto"/>
        <w:jc w:val="both"/>
        <w:rPr>
          <w:rFonts w:ascii="Times New Roman" w:hAnsi="Times New Roman" w:cs="Times New Roman"/>
          <w:color w:val="auto"/>
        </w:rPr>
      </w:pPr>
      <w:r w:rsidRPr="00D241DF">
        <w:rPr>
          <w:rFonts w:ascii="Times New Roman" w:eastAsiaTheme="minorHAnsi" w:hAnsi="Times New Roman" w:cs="Times New Roman"/>
          <w:color w:val="auto"/>
          <w:lang w:eastAsia="en-US"/>
        </w:rPr>
        <w:t>Bu tıbbi ürün her tablette 10 gramdan daha az (</w:t>
      </w:r>
      <w:r w:rsidR="00D241DF" w:rsidRPr="00D241DF">
        <w:rPr>
          <w:rFonts w:ascii="Times New Roman" w:eastAsiaTheme="minorHAnsi" w:hAnsi="Times New Roman" w:cs="Times New Roman"/>
          <w:color w:val="auto"/>
          <w:lang w:eastAsia="en-US"/>
        </w:rPr>
        <w:t>44.625</w:t>
      </w:r>
      <w:r w:rsidRPr="00D241DF">
        <w:rPr>
          <w:rFonts w:ascii="Times New Roman" w:eastAsiaTheme="minorHAnsi" w:hAnsi="Times New Roman" w:cs="Times New Roman"/>
          <w:color w:val="auto"/>
          <w:lang w:eastAsia="en-US"/>
        </w:rPr>
        <w:t xml:space="preserve"> mg) mannitol ihtiva eder; bu nedenle laksatif etki göstermesi beklenmez. </w:t>
      </w:r>
    </w:p>
    <w:p w:rsidR="006E16EB" w:rsidRPr="006E16EB" w:rsidRDefault="006E16EB" w:rsidP="006E16EB">
      <w:pPr>
        <w:spacing w:after="0" w:line="360" w:lineRule="auto"/>
        <w:jc w:val="both"/>
        <w:rPr>
          <w:rFonts w:ascii="Times New Roman" w:hAnsi="Times New Roman" w:cs="Times New Roman"/>
          <w:sz w:val="24"/>
          <w:szCs w:val="24"/>
        </w:rPr>
      </w:pPr>
      <w:r w:rsidRPr="00D241DF">
        <w:rPr>
          <w:rFonts w:ascii="Times New Roman" w:hAnsi="Times New Roman" w:cs="Times New Roman"/>
          <w:sz w:val="24"/>
          <w:szCs w:val="24"/>
        </w:rPr>
        <w:t>Bu tıbbi ürün her dozunda 1 mmol (23 mg)'dan daha az sodyum ihtiva eder; bu dozda sodyuma bağlı herhangi bir yan etki beklenmemektedir.</w:t>
      </w:r>
    </w:p>
    <w:p w:rsidR="00F627A7" w:rsidRPr="006E16EB" w:rsidRDefault="00F627A7" w:rsidP="004372F6">
      <w:pPr>
        <w:pStyle w:val="Default"/>
        <w:tabs>
          <w:tab w:val="left" w:pos="142"/>
        </w:tabs>
        <w:jc w:val="both"/>
        <w:rPr>
          <w:rFonts w:ascii="Times New Roman" w:hAnsi="Times New Roman" w:cs="Times New Roman"/>
          <w:color w:val="FF0000"/>
        </w:rPr>
      </w:pPr>
    </w:p>
    <w:p w:rsidR="00B74452" w:rsidRPr="006E16EB" w:rsidRDefault="00C95123" w:rsidP="006E16EB">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4.5 Di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er tıbbi ürünler ile etkile</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imler ve di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er etkile</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im </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ekilleri </w:t>
      </w:r>
    </w:p>
    <w:p w:rsidR="00B74452" w:rsidRPr="006E16EB" w:rsidRDefault="00B74452" w:rsidP="006E16EB">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Pantoprazolün diğer ilaçların emilimi üzerindeki etkisi:</w:t>
      </w:r>
    </w:p>
    <w:p w:rsidR="00B74452" w:rsidRPr="006E16EB" w:rsidRDefault="00C95123" w:rsidP="006E16EB">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Şiddetli ve uzun süren gastrik asit sekresyonu inhibisyonu nedeniyle PANDEV, </w:t>
      </w:r>
      <w:r w:rsidR="00B74452" w:rsidRPr="006E16EB">
        <w:rPr>
          <w:rFonts w:ascii="Times New Roman" w:hAnsi="Times New Roman" w:cs="Times New Roman"/>
          <w:color w:val="000000" w:themeColor="text1"/>
        </w:rPr>
        <w:t>biyoyararlanımı pH’ya bağlı (</w:t>
      </w:r>
      <w:r w:rsidRPr="006E16EB">
        <w:rPr>
          <w:rFonts w:ascii="Times New Roman" w:hAnsi="Times New Roman" w:cs="Times New Roman"/>
          <w:color w:val="000000" w:themeColor="text1"/>
        </w:rPr>
        <w:t>ketokonazol, itrakonazol, posakonazol gibi bazı azol antifungallerin ve erloti</w:t>
      </w:r>
      <w:r w:rsidR="003C4905" w:rsidRPr="006E16EB">
        <w:rPr>
          <w:rFonts w:ascii="Times New Roman" w:hAnsi="Times New Roman" w:cs="Times New Roman"/>
          <w:color w:val="000000" w:themeColor="text1"/>
        </w:rPr>
        <w:t>nib gibi bazı ilaçlar)</w:t>
      </w:r>
      <w:r w:rsidRPr="006E16EB">
        <w:rPr>
          <w:rFonts w:ascii="Times New Roman" w:hAnsi="Times New Roman" w:cs="Times New Roman"/>
          <w:color w:val="000000" w:themeColor="text1"/>
        </w:rPr>
        <w:t xml:space="preserve"> </w:t>
      </w:r>
      <w:r w:rsidR="003C4905" w:rsidRPr="006E16EB">
        <w:rPr>
          <w:rFonts w:ascii="Times New Roman" w:hAnsi="Times New Roman" w:cs="Times New Roman"/>
          <w:color w:val="000000" w:themeColor="text1"/>
        </w:rPr>
        <w:t>ilaçların emilimini</w:t>
      </w:r>
      <w:r w:rsidRPr="006E16EB">
        <w:rPr>
          <w:rFonts w:ascii="Times New Roman" w:hAnsi="Times New Roman" w:cs="Times New Roman"/>
          <w:color w:val="000000" w:themeColor="text1"/>
        </w:rPr>
        <w:t xml:space="preserve"> azaltabilir. </w:t>
      </w:r>
    </w:p>
    <w:p w:rsidR="00B74452" w:rsidRPr="006E16EB" w:rsidRDefault="00B74452"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HIV ilaçları (atazanavir):</w:t>
      </w:r>
    </w:p>
    <w:p w:rsidR="00101188" w:rsidRPr="006E16EB" w:rsidRDefault="00C95123"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Atazanavir ve </w:t>
      </w:r>
      <w:r w:rsidR="003C4905" w:rsidRPr="006E16EB">
        <w:rPr>
          <w:rFonts w:ascii="Times New Roman" w:hAnsi="Times New Roman" w:cs="Times New Roman"/>
          <w:color w:val="000000" w:themeColor="text1"/>
        </w:rPr>
        <w:t>emilimi</w:t>
      </w:r>
      <w:r w:rsidRPr="006E16EB">
        <w:rPr>
          <w:rFonts w:ascii="Times New Roman" w:hAnsi="Times New Roman" w:cs="Times New Roman"/>
          <w:color w:val="000000" w:themeColor="text1"/>
        </w:rPr>
        <w:t xml:space="preserve"> pH bağımlı diğer HIV ilaçlarının proton pompası inhibitörleri ile uygulanması</w:t>
      </w:r>
      <w:r w:rsidR="003C4905"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HIV ilaçlarının biyoyararlanımını önemli derecede azaltarak bu ilaçların etkililiğini </w:t>
      </w:r>
      <w:r w:rsidR="003C4905" w:rsidRPr="006E16EB">
        <w:rPr>
          <w:rFonts w:ascii="Times New Roman" w:hAnsi="Times New Roman" w:cs="Times New Roman"/>
          <w:color w:val="000000" w:themeColor="text1"/>
        </w:rPr>
        <w:t>azaltabilir</w:t>
      </w:r>
      <w:r w:rsidRPr="006E16EB">
        <w:rPr>
          <w:rFonts w:ascii="Times New Roman" w:hAnsi="Times New Roman" w:cs="Times New Roman"/>
          <w:color w:val="000000" w:themeColor="text1"/>
        </w:rPr>
        <w:t xml:space="preserve">. </w:t>
      </w:r>
      <w:r w:rsidR="003C4905" w:rsidRPr="006E16EB">
        <w:rPr>
          <w:rFonts w:ascii="Times New Roman" w:hAnsi="Times New Roman" w:cs="Times New Roman"/>
          <w:color w:val="000000" w:themeColor="text1"/>
        </w:rPr>
        <w:t>Bu nedenle p</w:t>
      </w:r>
      <w:r w:rsidRPr="006E16EB">
        <w:rPr>
          <w:rFonts w:ascii="Times New Roman" w:hAnsi="Times New Roman" w:cs="Times New Roman"/>
          <w:color w:val="000000" w:themeColor="text1"/>
        </w:rPr>
        <w:t>antoprazol dahil proton pompası inhibitörleri</w:t>
      </w:r>
      <w:r w:rsidR="003C4905" w:rsidRPr="006E16EB">
        <w:rPr>
          <w:rFonts w:ascii="Times New Roman" w:hAnsi="Times New Roman" w:cs="Times New Roman"/>
          <w:color w:val="000000" w:themeColor="text1"/>
        </w:rPr>
        <w:t>nin</w:t>
      </w:r>
      <w:r w:rsidRPr="006E16EB">
        <w:rPr>
          <w:rFonts w:ascii="Times New Roman" w:hAnsi="Times New Roman" w:cs="Times New Roman"/>
          <w:color w:val="000000" w:themeColor="text1"/>
        </w:rPr>
        <w:t xml:space="preserve"> atazanavir ile birlikte </w:t>
      </w:r>
      <w:r w:rsidR="003C4905" w:rsidRPr="006E16EB">
        <w:rPr>
          <w:rFonts w:ascii="Times New Roman" w:eastAsiaTheme="minorHAnsi" w:hAnsi="Times New Roman" w:cs="Times New Roman"/>
          <w:lang w:eastAsia="en-US"/>
        </w:rPr>
        <w:t xml:space="preserve"> </w:t>
      </w:r>
      <w:r w:rsidR="003C4905" w:rsidRPr="006E16EB">
        <w:rPr>
          <w:rFonts w:ascii="Times New Roman" w:eastAsiaTheme="minorHAnsi" w:hAnsi="Times New Roman" w:cs="Times New Roman"/>
          <w:color w:val="auto"/>
          <w:lang w:eastAsia="en-US"/>
        </w:rPr>
        <w:t>uygulanması tavsiye edilmemektedir (bkz. Bölüm 4.4).</w:t>
      </w:r>
    </w:p>
    <w:p w:rsidR="003C4905" w:rsidRPr="006E16EB" w:rsidRDefault="00101188" w:rsidP="00FA660C">
      <w:pPr>
        <w:pStyle w:val="Default"/>
        <w:tabs>
          <w:tab w:val="left" w:pos="142"/>
        </w:tabs>
        <w:spacing w:line="360" w:lineRule="auto"/>
        <w:jc w:val="both"/>
        <w:rPr>
          <w:rFonts w:ascii="Times New Roman" w:eastAsiaTheme="minorHAnsi" w:hAnsi="Times New Roman" w:cs="Times New Roman"/>
          <w:color w:val="auto"/>
          <w:u w:val="single"/>
          <w:lang w:eastAsia="en-US"/>
        </w:rPr>
      </w:pPr>
      <w:r w:rsidRPr="006E16EB">
        <w:rPr>
          <w:rFonts w:ascii="Times New Roman" w:eastAsiaTheme="minorHAnsi" w:hAnsi="Times New Roman" w:cs="Times New Roman"/>
          <w:color w:val="auto"/>
          <w:u w:val="single"/>
          <w:lang w:eastAsia="en-US"/>
        </w:rPr>
        <w:t>Kumarin antikoagülanları (fenprokumon ve varfarin)</w:t>
      </w:r>
    </w:p>
    <w:p w:rsidR="00101188" w:rsidRPr="006E16EB" w:rsidRDefault="00101188"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Fenprokumon veya varfarin ile birlikte kullanıldığında, klinik farmakokinetik çalışmalarda bir etkileşim gözlenmemiş olmasına rağmen, pazarlama sonrası dönemde Uluslararası Normalizasyon Oranı (UNO) değerlerinde değişiklikle ilgili birkaç vaka rapor edilmiştir. Bu nedenle, kumarin antikoagülanları </w:t>
      </w:r>
      <w:r w:rsidRPr="006E16EB">
        <w:rPr>
          <w:rFonts w:ascii="Times New Roman" w:eastAsiaTheme="minorHAnsi" w:hAnsi="Times New Roman" w:cs="Times New Roman"/>
          <w:lang w:eastAsia="en-US"/>
        </w:rPr>
        <w:t xml:space="preserve"> </w:t>
      </w:r>
      <w:r w:rsidRPr="006E16EB">
        <w:rPr>
          <w:rFonts w:ascii="Times New Roman" w:eastAsiaTheme="minorHAnsi" w:hAnsi="Times New Roman" w:cs="Times New Roman"/>
          <w:color w:val="auto"/>
          <w:lang w:eastAsia="en-US"/>
        </w:rPr>
        <w:t xml:space="preserve">(örn. fenprokumon veya varfarin) </w:t>
      </w:r>
      <w:r w:rsidRPr="006E16EB">
        <w:rPr>
          <w:rFonts w:ascii="Times New Roman" w:hAnsi="Times New Roman" w:cs="Times New Roman"/>
          <w:color w:val="000000" w:themeColor="text1"/>
        </w:rPr>
        <w:t xml:space="preserve">ile tedavi edilen hastalarda, pantoprazol tedavisi başladıktan ve sonlandırıldıktan sonra veya pantoprazolün düzensiz kullanımı sırasında protrombin zamanı/UNO değerlerinin izlenmesi önerilmektedir. </w:t>
      </w:r>
    </w:p>
    <w:p w:rsidR="00101188" w:rsidRPr="006E16EB" w:rsidRDefault="00101188"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u w:val="single"/>
          <w:lang w:eastAsia="en-US"/>
        </w:rPr>
        <w:t>Diğer etkileşim çalışmaları:</w:t>
      </w:r>
    </w:p>
    <w:p w:rsidR="00101188" w:rsidRPr="006E16EB" w:rsidRDefault="00C95123"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Pantoprazol sitokrom P450 enzim sistemi </w:t>
      </w:r>
      <w:r w:rsidR="00101188" w:rsidRPr="006E16EB">
        <w:rPr>
          <w:rFonts w:ascii="Times New Roman" w:eastAsiaTheme="minorHAnsi" w:hAnsi="Times New Roman" w:cs="Times New Roman"/>
          <w:color w:val="auto"/>
          <w:lang w:eastAsia="en-US"/>
        </w:rPr>
        <w:t>aracılığı ile büyük ölçüde karaciğerde</w:t>
      </w:r>
      <w:r w:rsidRPr="006E16EB">
        <w:rPr>
          <w:rFonts w:ascii="Times New Roman" w:hAnsi="Times New Roman" w:cs="Times New Roman"/>
          <w:color w:val="000000" w:themeColor="text1"/>
        </w:rPr>
        <w:t xml:space="preserve"> metabolize olur. Ana metabolik yolak CYP2C19 ile demetilasyondur ve diğer metabolik yolaklar CYP3A4 ile oksidayonu içerir. Aynı enzim sistemiyle metabolize olan </w:t>
      </w:r>
      <w:r w:rsidR="00101188" w:rsidRPr="006E16EB">
        <w:rPr>
          <w:rFonts w:ascii="Times New Roman" w:hAnsi="Times New Roman" w:cs="Times New Roman"/>
          <w:color w:val="000000" w:themeColor="text1"/>
        </w:rPr>
        <w:t xml:space="preserve">karbamazepin, diazepam, glibenklamid, nifedipin ve levonorgestrel, ve etinil östradiol içeren bir oral kontraseptifler ile yapılan </w:t>
      </w:r>
      <w:r w:rsidR="00101188" w:rsidRPr="006E16EB">
        <w:rPr>
          <w:rFonts w:ascii="Times New Roman" w:eastAsiaTheme="minorHAnsi" w:hAnsi="Times New Roman" w:cs="Times New Roman"/>
          <w:color w:val="auto"/>
          <w:lang w:eastAsia="en-US"/>
        </w:rPr>
        <w:t>etkileşim çalışmaları, klinik açıdan önemli olan etkileşimlere işaret etmemektedir.</w:t>
      </w:r>
    </w:p>
    <w:p w:rsidR="00101188" w:rsidRPr="006E16EB" w:rsidRDefault="00101188" w:rsidP="00FA660C">
      <w:pPr>
        <w:pStyle w:val="Default"/>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lang w:eastAsia="en-US"/>
        </w:rPr>
        <w:t xml:space="preserve">Bir dizi etkileşim çalışması, pantoprazolün CYP1A2 (kafein, teofilin gibi), CYP2C9 (piroksikam, diklofenak, naproksen gibi), CYP2D6 (metoprolol gibi), CYP2E1 (etanol gibi) ile metabolize olan aktif maddelerin metabolizmasını veya digoksinin p-glikoprotein ile </w:t>
      </w:r>
      <w:r w:rsidRPr="006E16EB">
        <w:rPr>
          <w:rFonts w:ascii="Times New Roman" w:eastAsiaTheme="minorHAnsi" w:hAnsi="Times New Roman" w:cs="Times New Roman"/>
          <w:color w:val="auto"/>
          <w:lang w:eastAsia="en-US"/>
        </w:rPr>
        <w:lastRenderedPageBreak/>
        <w:t>ilişkili emilimini etkilemediğini göstermiştir.</w:t>
      </w:r>
    </w:p>
    <w:p w:rsidR="00101188"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Antasitlerle birlikte verildiğinde etkileşme görülmemiştir. </w:t>
      </w:r>
    </w:p>
    <w:p w:rsidR="00C95123" w:rsidRPr="006E16EB" w:rsidRDefault="00101188" w:rsidP="004372F6">
      <w:pPr>
        <w:pStyle w:val="Default"/>
        <w:tabs>
          <w:tab w:val="left" w:pos="142"/>
        </w:tabs>
        <w:spacing w:line="276"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lang w:eastAsia="en-US"/>
        </w:rPr>
        <w:t>Ayrıca klaritromisin, metronidazol, amoksisilin gibi antibiyotiklerin pantoprazol ile eş zamanlı uygulanmasına dair etkileşim çalışmaları da yapılmıştır. Klinik açıdan önemli etkileşimler gözlenmemiştir.</w:t>
      </w:r>
    </w:p>
    <w:p w:rsidR="00101188" w:rsidRPr="006E16EB" w:rsidRDefault="00101188" w:rsidP="004372F6">
      <w:pPr>
        <w:pStyle w:val="Default"/>
        <w:tabs>
          <w:tab w:val="left" w:pos="142"/>
        </w:tabs>
        <w:jc w:val="both"/>
        <w:rPr>
          <w:rFonts w:ascii="Times New Roman" w:hAnsi="Times New Roman" w:cs="Times New Roman"/>
          <w:b/>
          <w:bCs/>
          <w:color w:val="000000" w:themeColor="text1"/>
        </w:rPr>
      </w:pPr>
    </w:p>
    <w:p w:rsidR="00101188"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Özel popülasyonlara ili</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kin ek bilgiler: </w:t>
      </w:r>
    </w:p>
    <w:p w:rsidR="00C95123" w:rsidRPr="006E16EB" w:rsidRDefault="00101188"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eastAsiaTheme="minorHAnsi" w:hAnsi="Times New Roman" w:cs="Times New Roman"/>
          <w:color w:val="auto"/>
          <w:lang w:eastAsia="en-US"/>
        </w:rPr>
        <w:t xml:space="preserve">Özel popülasyonlara ilişkin herhangi bir etkileşim çalışması yapılmamıştır. </w:t>
      </w:r>
    </w:p>
    <w:p w:rsidR="00141FF1" w:rsidRPr="006E16EB" w:rsidRDefault="00141FF1" w:rsidP="004372F6">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4.6 Gebelik ve laktasyon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Genel tavsiye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Gebelik kategorisi: B </w:t>
      </w:r>
    </w:p>
    <w:p w:rsidR="008557C9"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Çocuk do</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urma potansiyeli bulunan kadınlar / Do</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um kontrolü (kontrasepsiyon) </w:t>
      </w:r>
    </w:p>
    <w:p w:rsidR="008557C9" w:rsidRPr="006E16EB" w:rsidRDefault="008557C9" w:rsidP="00FA660C">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eastAsiaTheme="minorHAnsi" w:hAnsi="Times New Roman" w:cs="Times New Roman"/>
          <w:color w:val="auto"/>
          <w:lang w:eastAsia="en-US"/>
        </w:rPr>
        <w:t xml:space="preserve">Levonorgestrel ve etinil östradiol içeren bir oral kontraseptif ile yapılan spesifik testlerde, klinik açıdan anlamlı bir etkileşme gözlenmemiştir (bkz. Bölüm 4.5)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Gebelik dönemi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Pantoprazolün gebelikte kullanımı ile ilgili klinik deneyim sınırlıdır. </w:t>
      </w:r>
    </w:p>
    <w:p w:rsidR="008557C9" w:rsidRPr="006E16EB" w:rsidRDefault="00C95123" w:rsidP="00FA660C">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Hayvanlarda yapılan çalışmalarda üreme toksisitesi gözlenmiştir. </w:t>
      </w:r>
      <w:r w:rsidR="008557C9" w:rsidRPr="006E16EB">
        <w:rPr>
          <w:rFonts w:ascii="Times New Roman" w:eastAsiaTheme="minorHAnsi" w:hAnsi="Times New Roman" w:cs="Times New Roman"/>
          <w:color w:val="auto"/>
          <w:lang w:eastAsia="en-US"/>
        </w:rPr>
        <w:t>(bkz. Bölüm 5.3).</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İnsanlarda potansiyel risk bilinmemektedir. </w:t>
      </w:r>
      <w:r w:rsidR="008557C9" w:rsidRPr="006E16EB">
        <w:rPr>
          <w:rFonts w:ascii="Times New Roman" w:hAnsi="Times New Roman" w:cs="Times New Roman"/>
          <w:color w:val="000000" w:themeColor="text1"/>
        </w:rPr>
        <w:t>PANDEV</w:t>
      </w:r>
      <w:r w:rsidRPr="006E16EB">
        <w:rPr>
          <w:rFonts w:ascii="Times New Roman" w:hAnsi="Times New Roman" w:cs="Times New Roman"/>
          <w:color w:val="000000" w:themeColor="text1"/>
        </w:rPr>
        <w:t xml:space="preserve"> gerekli </w:t>
      </w:r>
      <w:r w:rsidR="008557C9" w:rsidRPr="006E16EB">
        <w:rPr>
          <w:rFonts w:ascii="Times New Roman" w:hAnsi="Times New Roman" w:cs="Times New Roman"/>
          <w:color w:val="000000" w:themeColor="text1"/>
        </w:rPr>
        <w:t>olmadıkça</w:t>
      </w:r>
      <w:r w:rsidRPr="006E16EB">
        <w:rPr>
          <w:rFonts w:ascii="Times New Roman" w:hAnsi="Times New Roman" w:cs="Times New Roman"/>
          <w:color w:val="000000" w:themeColor="text1"/>
        </w:rPr>
        <w:t xml:space="preserve"> gebelerde kullanılmamalıdır.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Hayvanlarda yapılan üreme çalışmalarında, 5 mg/kg üzerindeki dozlarda </w:t>
      </w:r>
      <w:r w:rsidR="008557C9" w:rsidRPr="006E16EB">
        <w:rPr>
          <w:rFonts w:ascii="Times New Roman" w:hAnsi="Times New Roman" w:cs="Times New Roman"/>
          <w:color w:val="000000" w:themeColor="text1"/>
        </w:rPr>
        <w:t>hafif</w:t>
      </w:r>
      <w:r w:rsidRPr="006E16EB">
        <w:rPr>
          <w:rFonts w:ascii="Times New Roman" w:hAnsi="Times New Roman" w:cs="Times New Roman"/>
          <w:color w:val="000000" w:themeColor="text1"/>
        </w:rPr>
        <w:t xml:space="preserve"> düzeyde fetotoksisite </w:t>
      </w:r>
      <w:r w:rsidR="008557C9" w:rsidRPr="006E16EB">
        <w:rPr>
          <w:rFonts w:ascii="Times New Roman" w:hAnsi="Times New Roman" w:cs="Times New Roman"/>
          <w:color w:val="000000" w:themeColor="text1"/>
        </w:rPr>
        <w:t xml:space="preserve">belirtileri gözlenmiştir. </w:t>
      </w:r>
    </w:p>
    <w:p w:rsidR="008557C9" w:rsidRPr="006E16EB" w:rsidRDefault="008557C9"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Gebelerde kullanılırken dikkatli olunmalıdır.</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Laktasyon dönemi </w:t>
      </w:r>
    </w:p>
    <w:p w:rsidR="008557C9"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Hayvan çalışmaları pantoprazolün süte geçtiğini göstermiştir. </w:t>
      </w:r>
      <w:r w:rsidR="008557C9" w:rsidRPr="006E16EB">
        <w:rPr>
          <w:rFonts w:ascii="Times New Roman" w:hAnsi="Times New Roman" w:cs="Times New Roman"/>
          <w:color w:val="000000" w:themeColor="text1"/>
        </w:rPr>
        <w:t>Pantoprazolün i</w:t>
      </w:r>
      <w:r w:rsidRPr="006E16EB">
        <w:rPr>
          <w:rFonts w:ascii="Times New Roman" w:hAnsi="Times New Roman" w:cs="Times New Roman"/>
          <w:color w:val="000000" w:themeColor="text1"/>
        </w:rPr>
        <w:t xml:space="preserve">nsan sütüne de geçtiği bildirilmiştir. Emzirmenin devam edilip </w:t>
      </w:r>
      <w:r w:rsidR="008557C9" w:rsidRPr="006E16EB">
        <w:rPr>
          <w:rFonts w:ascii="Times New Roman" w:hAnsi="Times New Roman" w:cs="Times New Roman"/>
          <w:color w:val="000000" w:themeColor="text1"/>
        </w:rPr>
        <w:t>edilmeyeceğine</w:t>
      </w:r>
      <w:r w:rsidRPr="006E16EB">
        <w:rPr>
          <w:rFonts w:ascii="Times New Roman" w:hAnsi="Times New Roman" w:cs="Times New Roman"/>
          <w:color w:val="000000" w:themeColor="text1"/>
        </w:rPr>
        <w:t xml:space="preserve"> veya PANDEV tedavisine devam edilip edilmeyeceğine</w:t>
      </w:r>
      <w:r w:rsidR="008557C9"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emzirmenin çocuğa yararı ve PANDEV tedavisinin anneye y</w:t>
      </w:r>
      <w:r w:rsidR="008557C9" w:rsidRPr="006E16EB">
        <w:rPr>
          <w:rFonts w:ascii="Times New Roman" w:hAnsi="Times New Roman" w:cs="Times New Roman"/>
          <w:color w:val="000000" w:themeColor="text1"/>
        </w:rPr>
        <w:t>ararı açısından değerlendirme yapıldıktan sonra</w:t>
      </w:r>
      <w:r w:rsidRPr="006E16EB">
        <w:rPr>
          <w:rFonts w:ascii="Times New Roman" w:hAnsi="Times New Roman" w:cs="Times New Roman"/>
          <w:color w:val="000000" w:themeColor="text1"/>
        </w:rPr>
        <w:t xml:space="preserve"> karar verilmelidir.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Bebeğini emziren annelerde </w:t>
      </w:r>
      <w:r w:rsidR="008557C9" w:rsidRPr="006E16EB">
        <w:rPr>
          <w:rFonts w:ascii="Times New Roman" w:hAnsi="Times New Roman" w:cs="Times New Roman"/>
          <w:color w:val="000000" w:themeColor="text1"/>
        </w:rPr>
        <w:t xml:space="preserve">pantoprazol </w:t>
      </w:r>
      <w:r w:rsidRPr="006E16EB">
        <w:rPr>
          <w:rFonts w:ascii="Times New Roman" w:hAnsi="Times New Roman" w:cs="Times New Roman"/>
          <w:color w:val="000000" w:themeColor="text1"/>
        </w:rPr>
        <w:t>ancak, anneye olan yararı</w:t>
      </w:r>
      <w:r w:rsidR="008557C9"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bebek üzerindeki potansiyel riskten fazla ise kullanılmalıdır.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Üreme yetene</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i / Fertilite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İnsanlarda fertilitenin bozulmasına veya teratojen etkiye ilişkin herhangi bir kanıt bulunmamıştır.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Hayvanlarda yapılan üreme çalışmalarında 5mg/kg'nın üzerinde </w:t>
      </w:r>
      <w:r w:rsidR="008557C9" w:rsidRPr="006E16EB">
        <w:rPr>
          <w:rFonts w:ascii="Times New Roman" w:hAnsi="Times New Roman" w:cs="Times New Roman"/>
          <w:color w:val="000000" w:themeColor="text1"/>
        </w:rPr>
        <w:t xml:space="preserve">dozlarda </w:t>
      </w:r>
      <w:r w:rsidRPr="006E16EB">
        <w:rPr>
          <w:rFonts w:ascii="Times New Roman" w:hAnsi="Times New Roman" w:cs="Times New Roman"/>
          <w:color w:val="000000" w:themeColor="text1"/>
        </w:rPr>
        <w:t xml:space="preserve">hafif </w:t>
      </w:r>
      <w:r w:rsidR="008557C9" w:rsidRPr="006E16EB">
        <w:rPr>
          <w:rFonts w:ascii="Times New Roman" w:hAnsi="Times New Roman" w:cs="Times New Roman"/>
          <w:color w:val="000000" w:themeColor="text1"/>
        </w:rPr>
        <w:t xml:space="preserve">düzeyde </w:t>
      </w:r>
      <w:r w:rsidRPr="006E16EB">
        <w:rPr>
          <w:rFonts w:ascii="Times New Roman" w:hAnsi="Times New Roman" w:cs="Times New Roman"/>
          <w:color w:val="000000" w:themeColor="text1"/>
        </w:rPr>
        <w:t xml:space="preserve">fetotoksisite </w:t>
      </w:r>
      <w:r w:rsidR="008557C9" w:rsidRPr="006E16EB">
        <w:rPr>
          <w:rFonts w:ascii="Times New Roman" w:hAnsi="Times New Roman" w:cs="Times New Roman"/>
          <w:color w:val="000000" w:themeColor="text1"/>
        </w:rPr>
        <w:t>belirtileri</w:t>
      </w:r>
      <w:r w:rsidRPr="006E16EB">
        <w:rPr>
          <w:rFonts w:ascii="Times New Roman" w:hAnsi="Times New Roman" w:cs="Times New Roman"/>
          <w:color w:val="000000" w:themeColor="text1"/>
        </w:rPr>
        <w:t xml:space="preserve"> gözlenmiştir. </w:t>
      </w:r>
      <w:r w:rsidR="008557C9" w:rsidRPr="006E16EB">
        <w:rPr>
          <w:rFonts w:ascii="Times New Roman" w:hAnsi="Times New Roman" w:cs="Times New Roman"/>
          <w:color w:val="000000" w:themeColor="text1"/>
        </w:rPr>
        <w:t>Fertilite</w:t>
      </w:r>
      <w:r w:rsidRPr="006E16EB">
        <w:rPr>
          <w:rFonts w:ascii="Times New Roman" w:hAnsi="Times New Roman" w:cs="Times New Roman"/>
          <w:color w:val="000000" w:themeColor="text1"/>
        </w:rPr>
        <w:t xml:space="preserve"> </w:t>
      </w:r>
      <w:r w:rsidR="008557C9" w:rsidRPr="006E16EB">
        <w:rPr>
          <w:rFonts w:ascii="Times New Roman" w:hAnsi="Times New Roman" w:cs="Times New Roman"/>
          <w:color w:val="000000" w:themeColor="text1"/>
        </w:rPr>
        <w:t>kaybı ya da teratojenite ile ilgili</w:t>
      </w:r>
      <w:r w:rsidRPr="006E16EB">
        <w:rPr>
          <w:rFonts w:ascii="Times New Roman" w:hAnsi="Times New Roman" w:cs="Times New Roman"/>
          <w:color w:val="000000" w:themeColor="text1"/>
        </w:rPr>
        <w:t xml:space="preserve"> bir bulgu yoktur (bkz. bölüm 5.3).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lastRenderedPageBreak/>
        <w:t xml:space="preserve">4.7 Araç ve makine kullanımı üzerindeki etkiler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Baş dönmesi ve görsel bozukluklar gibi advers ilaç etkileşimleri gözlenebilir. (bkz. bölüm 4.8) Bu advers olayların görülmesi durumunda hasta araç veya makine kullanmamalıdır. </w:t>
      </w:r>
    </w:p>
    <w:p w:rsidR="008269AF" w:rsidRPr="006E16EB" w:rsidRDefault="008269AF" w:rsidP="004372F6">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4.8 İstenmeyen etkiler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Hastaların yaklaşık %5’inin advers ilaç reaksiyonları yaşadığı tahmin edilmektedir. En fazla bildirilen advers reaksiyonlar diyare ve baş ağrısıdır, her iki durum da hastaların yaklaşık %1’inde gözlenmiştir.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Sistem organ sınıfına göre aşağıda listelenen istenmeyen olayların sıklık dereceleri şu şekilde tanımlanmıştır: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Çok yaygın (≥1/10); yaygın (≥1/100 ila &lt;1/10); yaygın olmayan (≥1/1,000 ila &lt;1/100); seyrek (≥1/10,000 ila &lt;1/1,000); çok seyrek (&lt;1/10,000); bilinmiyor (eldeki verilerden hareketle tahmin edilemiyor) </w:t>
      </w:r>
    </w:p>
    <w:p w:rsidR="00F50E1C" w:rsidRPr="006E16EB" w:rsidRDefault="00F50E1C" w:rsidP="00FA660C">
      <w:pPr>
        <w:pStyle w:val="Default"/>
        <w:tabs>
          <w:tab w:val="left" w:pos="142"/>
        </w:tabs>
        <w:spacing w:line="360" w:lineRule="auto"/>
        <w:jc w:val="both"/>
        <w:rPr>
          <w:rFonts w:ascii="Times New Roman" w:hAnsi="Times New Roman" w:cs="Times New Roman"/>
          <w:color w:val="000000" w:themeColor="text1"/>
        </w:rPr>
      </w:pPr>
    </w:p>
    <w:tbl>
      <w:tblPr>
        <w:tblStyle w:val="TabloKlavuzu"/>
        <w:tblW w:w="9747" w:type="dxa"/>
        <w:jc w:val="center"/>
        <w:tblLayout w:type="fixed"/>
        <w:tblLook w:val="04A0"/>
      </w:tblPr>
      <w:tblGrid>
        <w:gridCol w:w="1951"/>
        <w:gridCol w:w="992"/>
        <w:gridCol w:w="1560"/>
        <w:gridCol w:w="1701"/>
        <w:gridCol w:w="1701"/>
        <w:gridCol w:w="1842"/>
      </w:tblGrid>
      <w:tr w:rsidR="00C95123" w:rsidRPr="006E16EB" w:rsidTr="004372F6">
        <w:trPr>
          <w:jc w:val="center"/>
        </w:trPr>
        <w:tc>
          <w:tcPr>
            <w:tcW w:w="1951" w:type="dxa"/>
          </w:tcPr>
          <w:p w:rsidR="00C95123" w:rsidRPr="006E16EB" w:rsidRDefault="00FB1A96" w:rsidP="00FA660C">
            <w:pPr>
              <w:pStyle w:val="Default"/>
              <w:tabs>
                <w:tab w:val="left" w:pos="142"/>
              </w:tabs>
              <w:spacing w:line="360" w:lineRule="auto"/>
              <w:jc w:val="both"/>
              <w:rPr>
                <w:rFonts w:ascii="Times New Roman" w:hAnsi="Times New Roman" w:cs="Times New Roman"/>
                <w:color w:val="000000" w:themeColor="text1"/>
              </w:rPr>
            </w:pPr>
            <w:r>
              <w:rPr>
                <w:rFonts w:ascii="Times New Roman" w:hAnsi="Times New Roman" w:cs="Times New Roman"/>
                <w:noProof/>
                <w:color w:val="000000" w:themeColor="text1"/>
              </w:rPr>
              <w:pict>
                <v:shapetype id="_x0000_t32" coordsize="21600,21600" o:spt="32" o:oned="t" path="m,l21600,21600e" filled="f">
                  <v:path arrowok="t" fillok="f" o:connecttype="none"/>
                  <o:lock v:ext="edit" shapetype="t"/>
                </v:shapetype>
                <v:shape id="_x0000_s1026" type="#_x0000_t32" style="position:absolute;left:0;text-align:left;margin-left:-5.8pt;margin-top:-.7pt;width:97.9pt;height:82.95pt;z-index:251658240" o:connectortype="straight"/>
              </w:pict>
            </w:r>
            <w:r w:rsidR="00C95123" w:rsidRPr="006E16EB">
              <w:rPr>
                <w:rFonts w:ascii="Times New Roman" w:hAnsi="Times New Roman" w:cs="Times New Roman"/>
                <w:color w:val="000000" w:themeColor="text1"/>
              </w:rPr>
              <w:t xml:space="preserve">              Sıklık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p w:rsidR="0076541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Organ </w:t>
            </w:r>
          </w:p>
          <w:p w:rsidR="00C95123" w:rsidRPr="006E16EB" w:rsidRDefault="00F50E1C"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Sistemi</w:t>
            </w:r>
          </w:p>
        </w:tc>
        <w:tc>
          <w:tcPr>
            <w:tcW w:w="992"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Yaygın (≥1/100 &lt;1/10)</w:t>
            </w:r>
          </w:p>
        </w:tc>
        <w:tc>
          <w:tcPr>
            <w:tcW w:w="1560"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Yaygın olmayan (≥1/1,000 &lt;1/100)</w:t>
            </w:r>
          </w:p>
        </w:tc>
        <w:tc>
          <w:tcPr>
            <w:tcW w:w="1701"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Seyrek (≥1/10,000 &lt;1/1,000)</w:t>
            </w:r>
          </w:p>
        </w:tc>
        <w:tc>
          <w:tcPr>
            <w:tcW w:w="1701" w:type="dxa"/>
          </w:tcPr>
          <w:p w:rsidR="00FA660C"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Çok Seyrek (&lt;1/10,000, </w:t>
            </w:r>
          </w:p>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izole raporlar dahil)</w:t>
            </w:r>
          </w:p>
        </w:tc>
        <w:tc>
          <w:tcPr>
            <w:tcW w:w="1842"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Bilinmiyor</w:t>
            </w:r>
          </w:p>
        </w:tc>
      </w:tr>
      <w:tr w:rsidR="00C95123" w:rsidRPr="006E16EB" w:rsidTr="004372F6">
        <w:trPr>
          <w:jc w:val="center"/>
        </w:trPr>
        <w:tc>
          <w:tcPr>
            <w:tcW w:w="1951"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Kan ve lenf sistemi hastalıkları </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Pr>
          <w:p w:rsidR="00C95123" w:rsidRPr="006E16EB" w:rsidRDefault="00FA660C"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Agranülositoz</w:t>
            </w:r>
          </w:p>
        </w:tc>
        <w:tc>
          <w:tcPr>
            <w:tcW w:w="1701" w:type="dxa"/>
          </w:tcPr>
          <w:p w:rsidR="00C95123" w:rsidRPr="006E16EB" w:rsidRDefault="00FA660C"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Trombositopeni </w:t>
            </w:r>
            <w:r w:rsidR="00C95123" w:rsidRPr="006E16EB">
              <w:rPr>
                <w:rFonts w:ascii="Times New Roman" w:hAnsi="Times New Roman" w:cs="Times New Roman"/>
                <w:color w:val="000000" w:themeColor="text1"/>
              </w:rPr>
              <w:t xml:space="preserve">Lökopeni; </w:t>
            </w:r>
          </w:p>
          <w:p w:rsidR="00FA660C" w:rsidRPr="006E16EB" w:rsidRDefault="00FA660C"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Pansitopeni </w:t>
            </w: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4372F6">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Bağışıklık sistemi hastalıkları</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Pr>
          <w:p w:rsidR="00C95123"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Aşırı duyarlılık (</w:t>
            </w:r>
            <w:r w:rsidR="00C95123" w:rsidRPr="006E16EB">
              <w:rPr>
                <w:rFonts w:ascii="Times New Roman" w:hAnsi="Times New Roman" w:cs="Times New Roman"/>
                <w:color w:val="000000" w:themeColor="text1"/>
              </w:rPr>
              <w:t>Anaflaktik şok ve anaflaktik reaksiyonlar dahil</w:t>
            </w:r>
            <w:r w:rsidRPr="006E16EB">
              <w:rPr>
                <w:rFonts w:ascii="Times New Roman" w:hAnsi="Times New Roman" w:cs="Times New Roman"/>
                <w:color w:val="000000" w:themeColor="text1"/>
              </w:rPr>
              <w:t>)</w:t>
            </w: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4372F6">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Metabolizma ve beslenme hastalıkları</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Pr>
          <w:p w:rsidR="00C95123"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Hiperlipidemi ve lipid artışı (trigliseridler, kolesterol), kilo değişiklikleri</w:t>
            </w:r>
          </w:p>
          <w:p w:rsidR="004372F6" w:rsidRDefault="004372F6" w:rsidP="00FA660C">
            <w:pPr>
              <w:pStyle w:val="Default"/>
              <w:tabs>
                <w:tab w:val="left" w:pos="142"/>
              </w:tabs>
              <w:spacing w:line="360" w:lineRule="auto"/>
              <w:jc w:val="both"/>
              <w:rPr>
                <w:rFonts w:ascii="Times New Roman" w:hAnsi="Times New Roman" w:cs="Times New Roman"/>
                <w:color w:val="000000" w:themeColor="text1"/>
              </w:rPr>
            </w:pPr>
          </w:p>
          <w:p w:rsidR="004372F6" w:rsidRPr="006E16EB" w:rsidRDefault="004372F6"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Pr>
          <w:p w:rsidR="00C95123" w:rsidRPr="006E16EB" w:rsidRDefault="00C95123"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Hiponatremi</w:t>
            </w:r>
          </w:p>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Hipomagnezemi (bkz Bölüm 4.4.)</w:t>
            </w:r>
          </w:p>
        </w:tc>
      </w:tr>
      <w:tr w:rsidR="00C95123" w:rsidRPr="006E16EB" w:rsidTr="004372F6">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lastRenderedPageBreak/>
              <w:t>Psikiyatrik hastalıklar</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Uyku bozuklukları</w:t>
            </w: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Depresyon </w:t>
            </w:r>
            <w:r w:rsidR="00FA660C" w:rsidRPr="006E16EB">
              <w:rPr>
                <w:rFonts w:ascii="Times New Roman" w:hAnsi="Times New Roman" w:cs="Times New Roman"/>
                <w:color w:val="000000" w:themeColor="text1"/>
              </w:rPr>
              <w:t>(ve daha kötüleşmesi)</w:t>
            </w: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Dezoriyentas</w:t>
            </w:r>
            <w:r w:rsidR="00FA660C"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yon</w:t>
            </w:r>
            <w:r w:rsidR="00FA660C" w:rsidRPr="006E16EB">
              <w:rPr>
                <w:rFonts w:ascii="Times New Roman" w:hAnsi="Times New Roman" w:cs="Times New Roman"/>
                <w:color w:val="000000" w:themeColor="text1"/>
              </w:rPr>
              <w:t xml:space="preserve"> (ve daha kötüleşmesi)</w:t>
            </w:r>
            <w:r w:rsidRPr="006E16EB">
              <w:rPr>
                <w:rFonts w:ascii="Times New Roman" w:hAnsi="Times New Roman" w:cs="Times New Roman"/>
                <w:color w:val="000000" w:themeColor="text1"/>
              </w:rPr>
              <w:t xml:space="preserve"> </w:t>
            </w: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Halüsinasyon;</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Konfüzyon (özellikle predispoze hastalarda</w:t>
            </w:r>
            <w:r w:rsidR="00FA660C" w:rsidRPr="006E16EB">
              <w:rPr>
                <w:rFonts w:ascii="Times New Roman" w:hAnsi="Times New Roman" w:cs="Times New Roman"/>
                <w:color w:val="000000" w:themeColor="text1"/>
              </w:rPr>
              <w:t>; daha önceden mevcut ise daha da kötüleşmesi</w:t>
            </w:r>
            <w:r w:rsidRPr="006E16EB">
              <w:rPr>
                <w:rFonts w:ascii="Times New Roman" w:hAnsi="Times New Roman" w:cs="Times New Roman"/>
                <w:color w:val="000000" w:themeColor="text1"/>
              </w:rPr>
              <w:t>)</w:t>
            </w:r>
          </w:p>
        </w:tc>
      </w:tr>
      <w:tr w:rsidR="00C95123" w:rsidRPr="006E16EB" w:rsidTr="004372F6">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Sinir sistemi hastalıkları </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Baş dönmesi; Baş ağrısı, </w:t>
            </w:r>
          </w:p>
        </w:tc>
        <w:tc>
          <w:tcPr>
            <w:tcW w:w="1701" w:type="dxa"/>
          </w:tcPr>
          <w:p w:rsidR="00C95123"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Tat alma bozuklukları</w:t>
            </w:r>
          </w:p>
        </w:tc>
        <w:tc>
          <w:tcPr>
            <w:tcW w:w="1701" w:type="dxa"/>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4372F6">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Göz hastalıkları </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Görme bozuklukları (bulanık görme) </w:t>
            </w:r>
          </w:p>
        </w:tc>
        <w:tc>
          <w:tcPr>
            <w:tcW w:w="1701" w:type="dxa"/>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4372F6">
        <w:trPr>
          <w:jc w:val="center"/>
        </w:trPr>
        <w:tc>
          <w:tcPr>
            <w:tcW w:w="195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Gastrointestinal</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hastalıklar</w:t>
            </w:r>
          </w:p>
        </w:tc>
        <w:tc>
          <w:tcPr>
            <w:tcW w:w="99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Bulantı</w:t>
            </w:r>
            <w:r w:rsidR="00FA660C" w:rsidRPr="006E16EB">
              <w:rPr>
                <w:rFonts w:ascii="Times New Roman" w:hAnsi="Times New Roman" w:cs="Times New Roman"/>
                <w:color w:val="000000" w:themeColor="text1"/>
              </w:rPr>
              <w:t>/Kus-</w:t>
            </w:r>
            <w:r w:rsidRPr="006E16EB">
              <w:rPr>
                <w:rFonts w:ascii="Times New Roman" w:hAnsi="Times New Roman" w:cs="Times New Roman"/>
                <w:color w:val="000000" w:themeColor="text1"/>
              </w:rPr>
              <w:t xml:space="preserve">ma, </w:t>
            </w:r>
            <w:r w:rsidR="00FA660C" w:rsidRPr="006E16EB">
              <w:rPr>
                <w:rFonts w:ascii="Times New Roman" w:hAnsi="Times New Roman" w:cs="Times New Roman"/>
                <w:color w:val="000000" w:themeColor="text1"/>
              </w:rPr>
              <w:t xml:space="preserve">abdominal ağrı ve </w:t>
            </w:r>
            <w:r w:rsidRPr="006E16EB">
              <w:rPr>
                <w:rFonts w:ascii="Times New Roman" w:hAnsi="Times New Roman" w:cs="Times New Roman"/>
                <w:color w:val="000000" w:themeColor="text1"/>
              </w:rPr>
              <w:t>rahatsızlık</w:t>
            </w:r>
            <w:r w:rsidR="00FA660C"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w:t>
            </w:r>
            <w:r w:rsidR="00FA660C" w:rsidRPr="006E16EB">
              <w:rPr>
                <w:rFonts w:ascii="Times New Roman" w:hAnsi="Times New Roman" w:cs="Times New Roman"/>
                <w:color w:val="000000" w:themeColor="text1"/>
              </w:rPr>
              <w:t>Konstipasyon Ağız kuruluğu Abdominal gerginlik ve şişkinlik Diyare</w:t>
            </w:r>
          </w:p>
        </w:tc>
        <w:tc>
          <w:tcPr>
            <w:tcW w:w="1701"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FA660C" w:rsidRPr="006E16EB" w:rsidTr="004372F6">
        <w:trPr>
          <w:trHeight w:val="2080"/>
          <w:jc w:val="center"/>
        </w:trPr>
        <w:tc>
          <w:tcPr>
            <w:tcW w:w="1951"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Hepatobiliyer </w:t>
            </w:r>
          </w:p>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hastalıklar </w:t>
            </w:r>
          </w:p>
        </w:tc>
        <w:tc>
          <w:tcPr>
            <w:tcW w:w="992"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p>
        </w:tc>
        <w:tc>
          <w:tcPr>
            <w:tcW w:w="1560"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Karaciğer </w:t>
            </w:r>
          </w:p>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enzimlerinde artış (transaminaz</w:t>
            </w:r>
            <w:r w:rsidR="004B1856"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lar, γ-GT) </w:t>
            </w:r>
          </w:p>
        </w:tc>
        <w:tc>
          <w:tcPr>
            <w:tcW w:w="1701"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Billirubin artışı </w:t>
            </w:r>
          </w:p>
        </w:tc>
        <w:tc>
          <w:tcPr>
            <w:tcW w:w="1701"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p>
        </w:tc>
        <w:tc>
          <w:tcPr>
            <w:tcW w:w="1842" w:type="dxa"/>
          </w:tcPr>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Hepatoselüler hasar, </w:t>
            </w:r>
          </w:p>
          <w:p w:rsidR="00FA660C" w:rsidRPr="006E16EB" w:rsidRDefault="00FA660C" w:rsidP="00FA660C">
            <w:pPr>
              <w:pStyle w:val="Default"/>
              <w:tabs>
                <w:tab w:val="left" w:pos="142"/>
              </w:tabs>
              <w:spacing w:line="360" w:lineRule="auto"/>
              <w:rPr>
                <w:rFonts w:ascii="Times New Roman" w:hAnsi="Times New Roman" w:cs="Times New Roman"/>
                <w:color w:val="000000" w:themeColor="text1"/>
              </w:rPr>
            </w:pPr>
            <w:r w:rsidRPr="006E16EB">
              <w:rPr>
                <w:rFonts w:ascii="Times New Roman" w:hAnsi="Times New Roman" w:cs="Times New Roman"/>
                <w:color w:val="000000" w:themeColor="text1"/>
              </w:rPr>
              <w:t xml:space="preserve">sarılık, hepatoselüler yetmezlik </w:t>
            </w:r>
          </w:p>
        </w:tc>
      </w:tr>
    </w:tbl>
    <w:p w:rsidR="00141FF1" w:rsidRDefault="00141FF1" w:rsidP="00FA660C">
      <w:pPr>
        <w:pStyle w:val="Default"/>
        <w:tabs>
          <w:tab w:val="left" w:pos="142"/>
        </w:tabs>
        <w:spacing w:line="360" w:lineRule="auto"/>
        <w:jc w:val="both"/>
        <w:rPr>
          <w:rFonts w:ascii="Times New Roman" w:hAnsi="Times New Roman" w:cs="Times New Roman"/>
          <w:color w:val="000000" w:themeColor="text1"/>
        </w:rPr>
      </w:pPr>
    </w:p>
    <w:p w:rsidR="004372F6" w:rsidRDefault="004372F6" w:rsidP="00FA660C">
      <w:pPr>
        <w:pStyle w:val="Default"/>
        <w:tabs>
          <w:tab w:val="left" w:pos="142"/>
        </w:tabs>
        <w:spacing w:line="360" w:lineRule="auto"/>
        <w:jc w:val="both"/>
        <w:rPr>
          <w:rFonts w:ascii="Times New Roman" w:hAnsi="Times New Roman" w:cs="Times New Roman"/>
          <w:color w:val="000000" w:themeColor="text1"/>
        </w:rPr>
      </w:pPr>
    </w:p>
    <w:p w:rsidR="004372F6" w:rsidRDefault="004372F6" w:rsidP="00FA660C">
      <w:pPr>
        <w:pStyle w:val="Default"/>
        <w:tabs>
          <w:tab w:val="left" w:pos="142"/>
        </w:tabs>
        <w:spacing w:line="360" w:lineRule="auto"/>
        <w:jc w:val="both"/>
        <w:rPr>
          <w:rFonts w:ascii="Times New Roman" w:hAnsi="Times New Roman" w:cs="Times New Roman"/>
          <w:color w:val="000000" w:themeColor="text1"/>
        </w:rPr>
      </w:pPr>
    </w:p>
    <w:p w:rsidR="004372F6" w:rsidRDefault="004372F6" w:rsidP="00FA660C">
      <w:pPr>
        <w:pStyle w:val="Default"/>
        <w:tabs>
          <w:tab w:val="left" w:pos="142"/>
        </w:tabs>
        <w:spacing w:line="360" w:lineRule="auto"/>
        <w:jc w:val="both"/>
        <w:rPr>
          <w:rFonts w:ascii="Times New Roman" w:hAnsi="Times New Roman" w:cs="Times New Roman"/>
          <w:color w:val="000000" w:themeColor="text1"/>
        </w:rPr>
      </w:pPr>
    </w:p>
    <w:tbl>
      <w:tblPr>
        <w:tblW w:w="9747" w:type="dxa"/>
        <w:jc w:val="center"/>
        <w:tblBorders>
          <w:top w:val="nil"/>
          <w:left w:val="nil"/>
          <w:bottom w:val="nil"/>
          <w:right w:val="nil"/>
        </w:tblBorders>
        <w:tblLayout w:type="fixed"/>
        <w:tblLook w:val="0000"/>
      </w:tblPr>
      <w:tblGrid>
        <w:gridCol w:w="1951"/>
        <w:gridCol w:w="992"/>
        <w:gridCol w:w="1560"/>
        <w:gridCol w:w="1701"/>
        <w:gridCol w:w="1701"/>
        <w:gridCol w:w="1842"/>
      </w:tblGrid>
      <w:tr w:rsidR="00C95123" w:rsidRPr="006E16EB" w:rsidTr="004372F6">
        <w:trPr>
          <w:trHeight w:val="128"/>
          <w:jc w:val="center"/>
        </w:trPr>
        <w:tc>
          <w:tcPr>
            <w:tcW w:w="1951" w:type="dxa"/>
            <w:tcBorders>
              <w:top w:val="single" w:sz="6" w:space="0" w:color="000000"/>
              <w:left w:val="single" w:sz="4" w:space="0" w:color="000000"/>
              <w:right w:val="single" w:sz="4" w:space="0" w:color="000000"/>
            </w:tcBorders>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lastRenderedPageBreak/>
              <w:t xml:space="preserve">Deri ve derialtı </w:t>
            </w:r>
          </w:p>
        </w:tc>
        <w:tc>
          <w:tcPr>
            <w:tcW w:w="992" w:type="dxa"/>
            <w:tcBorders>
              <w:top w:val="single" w:sz="6" w:space="0" w:color="000000"/>
              <w:left w:val="single" w:sz="4"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top w:val="single" w:sz="6" w:space="0" w:color="000000"/>
              <w:left w:val="single" w:sz="4" w:space="0" w:color="000000"/>
              <w:right w:val="single" w:sz="4" w:space="0" w:color="000000"/>
            </w:tcBorders>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Kaşıntı, </w:t>
            </w:r>
          </w:p>
        </w:tc>
        <w:tc>
          <w:tcPr>
            <w:tcW w:w="1701" w:type="dxa"/>
            <w:tcBorders>
              <w:top w:val="single" w:sz="6" w:space="0" w:color="000000"/>
              <w:left w:val="single" w:sz="4"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Ürtiker; </w:t>
            </w:r>
          </w:p>
        </w:tc>
        <w:tc>
          <w:tcPr>
            <w:tcW w:w="1701" w:type="dxa"/>
            <w:tcBorders>
              <w:top w:val="single" w:sz="6" w:space="0" w:color="000000"/>
              <w:left w:val="single" w:sz="4"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top w:val="single" w:sz="6" w:space="0" w:color="000000"/>
              <w:left w:val="single" w:sz="4" w:space="0" w:color="000000"/>
              <w:right w:val="single" w:sz="4" w:space="0" w:color="000000"/>
            </w:tcBorders>
            <w:vAlign w:val="center"/>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Stevens-Johnson </w:t>
            </w:r>
          </w:p>
        </w:tc>
      </w:tr>
      <w:tr w:rsidR="00C95123" w:rsidRPr="006E16EB" w:rsidTr="004372F6">
        <w:trPr>
          <w:trHeight w:val="653"/>
          <w:jc w:val="center"/>
        </w:trPr>
        <w:tc>
          <w:tcPr>
            <w:tcW w:w="1951" w:type="dxa"/>
            <w:tcBorders>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dokusu hastalıkları </w:t>
            </w:r>
          </w:p>
        </w:tc>
        <w:tc>
          <w:tcPr>
            <w:tcW w:w="992" w:type="dxa"/>
            <w:tcBorders>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left w:val="single" w:sz="4" w:space="0" w:color="000000"/>
              <w:bottom w:val="single" w:sz="6" w:space="0" w:color="000000"/>
              <w:right w:val="single" w:sz="4" w:space="0" w:color="000000"/>
            </w:tcBorders>
          </w:tcPr>
          <w:p w:rsidR="004B1856"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ekzantem ve deri döküntüsü gibi alerjik reaksiyonlar</w:t>
            </w:r>
            <w:r w:rsidR="004B1856" w:rsidRPr="006E16EB">
              <w:rPr>
                <w:rFonts w:ascii="Times New Roman" w:hAnsi="Times New Roman" w:cs="Times New Roman"/>
                <w:color w:val="000000" w:themeColor="text1"/>
              </w:rPr>
              <w:t>,</w:t>
            </w:r>
          </w:p>
          <w:p w:rsidR="00C95123" w:rsidRPr="006E16EB" w:rsidRDefault="004B1856"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Prurit</w:t>
            </w:r>
            <w:r w:rsidR="00C95123" w:rsidRPr="006E16EB">
              <w:rPr>
                <w:rFonts w:ascii="Times New Roman" w:hAnsi="Times New Roman" w:cs="Times New Roman"/>
                <w:color w:val="000000" w:themeColor="text1"/>
              </w:rPr>
              <w:t xml:space="preserve"> </w:t>
            </w:r>
          </w:p>
        </w:tc>
        <w:tc>
          <w:tcPr>
            <w:tcW w:w="1701" w:type="dxa"/>
            <w:tcBorders>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Anjiyoödem; </w:t>
            </w:r>
          </w:p>
        </w:tc>
        <w:tc>
          <w:tcPr>
            <w:tcW w:w="1701" w:type="dxa"/>
            <w:tcBorders>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sendromu, Lyell sendromu, Erythema multiform, fotosensitivite </w:t>
            </w:r>
          </w:p>
        </w:tc>
      </w:tr>
      <w:tr w:rsidR="00C95123" w:rsidRPr="006E16EB" w:rsidTr="004372F6">
        <w:trPr>
          <w:trHeight w:val="263"/>
          <w:jc w:val="center"/>
        </w:trPr>
        <w:tc>
          <w:tcPr>
            <w:tcW w:w="195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Kas-iskelet, bağ dokusu hastalıkları </w:t>
            </w:r>
          </w:p>
        </w:tc>
        <w:tc>
          <w:tcPr>
            <w:tcW w:w="99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top w:val="single" w:sz="6" w:space="0" w:color="000000"/>
              <w:left w:val="single" w:sz="4" w:space="0" w:color="000000"/>
              <w:bottom w:val="single" w:sz="6" w:space="0" w:color="000000"/>
              <w:right w:val="single" w:sz="4" w:space="0" w:color="000000"/>
            </w:tcBorders>
          </w:tcPr>
          <w:p w:rsidR="00C95123" w:rsidRPr="006E16EB" w:rsidRDefault="004B1856"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Kalça, el bileği ve omurga kırığı, (bkz Bölüm 4.4)</w:t>
            </w: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Artralji, Miyalji </w:t>
            </w: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4372F6">
        <w:trPr>
          <w:trHeight w:val="265"/>
          <w:jc w:val="center"/>
        </w:trPr>
        <w:tc>
          <w:tcPr>
            <w:tcW w:w="195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Böbrek ve idrar hastalıkları </w:t>
            </w:r>
          </w:p>
        </w:tc>
        <w:tc>
          <w:tcPr>
            <w:tcW w:w="99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intestisyel nefrit </w:t>
            </w:r>
          </w:p>
        </w:tc>
      </w:tr>
      <w:tr w:rsidR="00C95123" w:rsidRPr="006E16EB" w:rsidTr="004372F6">
        <w:trPr>
          <w:trHeight w:val="263"/>
          <w:jc w:val="center"/>
        </w:trPr>
        <w:tc>
          <w:tcPr>
            <w:tcW w:w="195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Üreme sistemi ve meme hastalıkları </w:t>
            </w:r>
          </w:p>
        </w:tc>
        <w:tc>
          <w:tcPr>
            <w:tcW w:w="99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Jinekomasti </w:t>
            </w: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r w:rsidR="00C95123" w:rsidRPr="006E16EB" w:rsidTr="004372F6">
        <w:trPr>
          <w:trHeight w:val="523"/>
          <w:jc w:val="center"/>
        </w:trPr>
        <w:tc>
          <w:tcPr>
            <w:tcW w:w="1951" w:type="dxa"/>
            <w:tcBorders>
              <w:top w:val="single" w:sz="6" w:space="0" w:color="000000"/>
              <w:left w:val="single" w:sz="4" w:space="0" w:color="000000"/>
              <w:bottom w:val="single" w:sz="6" w:space="0" w:color="000000"/>
              <w:right w:val="single" w:sz="4" w:space="0" w:color="000000"/>
            </w:tcBorders>
          </w:tcPr>
          <w:p w:rsidR="00C95123" w:rsidRPr="006E16EB" w:rsidRDefault="00C95123" w:rsidP="004B1856">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Genel bozukluklar ve uygulama yerine özgü </w:t>
            </w:r>
            <w:r w:rsidR="004B1856" w:rsidRPr="006E16EB">
              <w:rPr>
                <w:rFonts w:ascii="Times New Roman" w:hAnsi="Times New Roman" w:cs="Times New Roman"/>
                <w:color w:val="000000" w:themeColor="text1"/>
              </w:rPr>
              <w:t>rahatsızlıklar</w:t>
            </w:r>
          </w:p>
        </w:tc>
        <w:tc>
          <w:tcPr>
            <w:tcW w:w="99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560"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Halsizlik, yorgunluk ve keyifsizlik </w:t>
            </w: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Vücut sıcaklığında artış</w:t>
            </w:r>
            <w:r w:rsidR="004B1856" w:rsidRPr="006E16EB">
              <w:rPr>
                <w:rFonts w:ascii="Times New Roman" w:hAnsi="Times New Roman" w:cs="Times New Roman"/>
                <w:color w:val="000000" w:themeColor="text1"/>
              </w:rPr>
              <w:t>;</w:t>
            </w:r>
            <w:r w:rsidRPr="006E16EB">
              <w:rPr>
                <w:rFonts w:ascii="Times New Roman" w:hAnsi="Times New Roman" w:cs="Times New Roman"/>
                <w:color w:val="000000" w:themeColor="text1"/>
              </w:rPr>
              <w:t xml:space="preserve"> Periferik ödem </w:t>
            </w:r>
          </w:p>
        </w:tc>
        <w:tc>
          <w:tcPr>
            <w:tcW w:w="1701"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c>
          <w:tcPr>
            <w:tcW w:w="1842" w:type="dxa"/>
            <w:tcBorders>
              <w:top w:val="single" w:sz="6" w:space="0" w:color="000000"/>
              <w:left w:val="single" w:sz="4" w:space="0" w:color="000000"/>
              <w:bottom w:val="single" w:sz="6" w:space="0" w:color="000000"/>
              <w:right w:val="single" w:sz="4" w:space="0" w:color="000000"/>
            </w:tcBorders>
          </w:tcPr>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p>
        </w:tc>
      </w:tr>
    </w:tbl>
    <w:p w:rsidR="00C95123" w:rsidRDefault="00C95123" w:rsidP="00B90DD9">
      <w:pPr>
        <w:pStyle w:val="Default"/>
        <w:tabs>
          <w:tab w:val="left" w:pos="142"/>
        </w:tabs>
        <w:jc w:val="both"/>
        <w:rPr>
          <w:rFonts w:ascii="Times New Roman" w:hAnsi="Times New Roman" w:cs="Times New Roman"/>
          <w:b/>
          <w:bCs/>
          <w:i/>
          <w:iCs/>
          <w:color w:val="000000" w:themeColor="text1"/>
        </w:rPr>
      </w:pPr>
    </w:p>
    <w:p w:rsidR="00B90DD9" w:rsidRPr="00B90DD9" w:rsidRDefault="00B90DD9" w:rsidP="00B90DD9">
      <w:pPr>
        <w:tabs>
          <w:tab w:val="left" w:pos="142"/>
          <w:tab w:val="left" w:pos="284"/>
          <w:tab w:val="left" w:pos="426"/>
        </w:tabs>
        <w:spacing w:after="0" w:line="360" w:lineRule="auto"/>
        <w:jc w:val="both"/>
        <w:rPr>
          <w:rFonts w:ascii="Times New Roman" w:hAnsi="Times New Roman"/>
          <w:color w:val="0070C0"/>
          <w:sz w:val="24"/>
          <w:szCs w:val="24"/>
          <w:u w:val="single"/>
          <w:lang w:eastAsia="nl-NL"/>
        </w:rPr>
      </w:pPr>
      <w:r w:rsidRPr="00B90DD9">
        <w:rPr>
          <w:rFonts w:ascii="Times New Roman" w:hAnsi="Times New Roman" w:hint="eastAsia"/>
          <w:color w:val="0070C0"/>
          <w:sz w:val="24"/>
          <w:szCs w:val="24"/>
          <w:u w:val="single"/>
          <w:lang w:eastAsia="nl-NL"/>
        </w:rPr>
        <w:t>Ş</w:t>
      </w:r>
      <w:r w:rsidRPr="00B90DD9">
        <w:rPr>
          <w:rFonts w:ascii="Times New Roman" w:hAnsi="Times New Roman"/>
          <w:color w:val="0070C0"/>
          <w:sz w:val="24"/>
          <w:szCs w:val="24"/>
          <w:u w:val="single"/>
          <w:lang w:eastAsia="nl-NL"/>
        </w:rPr>
        <w:t>üpheli advers reaksiyonlar</w:t>
      </w:r>
      <w:r w:rsidRPr="00B90DD9">
        <w:rPr>
          <w:rFonts w:ascii="Times New Roman" w:hAnsi="Times New Roman" w:hint="eastAsia"/>
          <w:color w:val="0070C0"/>
          <w:sz w:val="24"/>
          <w:szCs w:val="24"/>
          <w:u w:val="single"/>
          <w:lang w:eastAsia="nl-NL"/>
        </w:rPr>
        <w:t>ı</w:t>
      </w:r>
      <w:r w:rsidRPr="00B90DD9">
        <w:rPr>
          <w:rFonts w:ascii="Times New Roman" w:hAnsi="Times New Roman"/>
          <w:color w:val="0070C0"/>
          <w:sz w:val="24"/>
          <w:szCs w:val="24"/>
          <w:u w:val="single"/>
          <w:lang w:eastAsia="nl-NL"/>
        </w:rPr>
        <w:t>n raporlanmas</w:t>
      </w:r>
      <w:r w:rsidRPr="00B90DD9">
        <w:rPr>
          <w:rFonts w:ascii="Times New Roman" w:hAnsi="Times New Roman" w:hint="eastAsia"/>
          <w:color w:val="0070C0"/>
          <w:sz w:val="24"/>
          <w:szCs w:val="24"/>
          <w:u w:val="single"/>
          <w:lang w:eastAsia="nl-NL"/>
        </w:rPr>
        <w:t>ı</w:t>
      </w:r>
    </w:p>
    <w:p w:rsidR="00B90DD9" w:rsidRPr="00B90DD9" w:rsidRDefault="00B90DD9" w:rsidP="00B90DD9">
      <w:pPr>
        <w:tabs>
          <w:tab w:val="left" w:pos="142"/>
          <w:tab w:val="left" w:pos="284"/>
          <w:tab w:val="left" w:pos="426"/>
        </w:tabs>
        <w:spacing w:after="0" w:line="360" w:lineRule="auto"/>
        <w:jc w:val="both"/>
        <w:rPr>
          <w:rFonts w:ascii="Times New Roman" w:hAnsi="Times New Roman"/>
          <w:color w:val="0070C0"/>
          <w:sz w:val="24"/>
          <w:szCs w:val="24"/>
          <w:lang w:eastAsia="nl-NL"/>
        </w:rPr>
      </w:pPr>
      <w:r w:rsidRPr="00B90DD9">
        <w:rPr>
          <w:rFonts w:ascii="Times New Roman" w:hAnsi="Times New Roman"/>
          <w:color w:val="0070C0"/>
          <w:sz w:val="24"/>
          <w:szCs w:val="24"/>
          <w:lang w:eastAsia="nl-NL"/>
        </w:rPr>
        <w:t>Ruhsatland</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rma sonras</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 xml:space="preserve"> </w:t>
      </w:r>
      <w:r w:rsidRPr="00B90DD9">
        <w:rPr>
          <w:rFonts w:ascii="Times New Roman" w:hAnsi="Times New Roman" w:hint="eastAsia"/>
          <w:color w:val="0070C0"/>
          <w:sz w:val="24"/>
          <w:szCs w:val="24"/>
          <w:lang w:eastAsia="nl-NL"/>
        </w:rPr>
        <w:t>ş</w:t>
      </w:r>
      <w:r w:rsidRPr="00B90DD9">
        <w:rPr>
          <w:rFonts w:ascii="Times New Roman" w:hAnsi="Times New Roman"/>
          <w:color w:val="0070C0"/>
          <w:sz w:val="24"/>
          <w:szCs w:val="24"/>
          <w:lang w:eastAsia="nl-NL"/>
        </w:rPr>
        <w:t>üpheli ilaç advers reaksiyonlar</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n</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n raporlanmas</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 xml:space="preserve"> büyük önem ta</w:t>
      </w:r>
      <w:r w:rsidRPr="00B90DD9">
        <w:rPr>
          <w:rFonts w:ascii="Times New Roman" w:hAnsi="Times New Roman" w:hint="eastAsia"/>
          <w:color w:val="0070C0"/>
          <w:sz w:val="24"/>
          <w:szCs w:val="24"/>
          <w:lang w:eastAsia="nl-NL"/>
        </w:rPr>
        <w:t>şı</w:t>
      </w:r>
      <w:r w:rsidRPr="00B90DD9">
        <w:rPr>
          <w:rFonts w:ascii="Times New Roman" w:hAnsi="Times New Roman"/>
          <w:color w:val="0070C0"/>
          <w:sz w:val="24"/>
          <w:szCs w:val="24"/>
          <w:lang w:eastAsia="nl-NL"/>
        </w:rPr>
        <w:t>maktad</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r. Raporlama yap</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lmas</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 ilac</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n yarar/risk dengesinin sürekli olarak izlenmesine olanak sa</w:t>
      </w:r>
      <w:r w:rsidRPr="00B90DD9">
        <w:rPr>
          <w:rFonts w:ascii="Times New Roman" w:hAnsi="Times New Roman" w:hint="eastAsia"/>
          <w:color w:val="0070C0"/>
          <w:sz w:val="24"/>
          <w:szCs w:val="24"/>
          <w:lang w:eastAsia="nl-NL"/>
        </w:rPr>
        <w:t>ğ</w:t>
      </w:r>
      <w:r w:rsidRPr="00B90DD9">
        <w:rPr>
          <w:rFonts w:ascii="Times New Roman" w:hAnsi="Times New Roman"/>
          <w:color w:val="0070C0"/>
          <w:sz w:val="24"/>
          <w:szCs w:val="24"/>
          <w:lang w:eastAsia="nl-NL"/>
        </w:rPr>
        <w:t>lar. Sa</w:t>
      </w:r>
      <w:r w:rsidRPr="00B90DD9">
        <w:rPr>
          <w:rFonts w:ascii="Times New Roman" w:hAnsi="Times New Roman" w:hint="eastAsia"/>
          <w:color w:val="0070C0"/>
          <w:sz w:val="24"/>
          <w:szCs w:val="24"/>
          <w:lang w:eastAsia="nl-NL"/>
        </w:rPr>
        <w:t>ğ</w:t>
      </w:r>
      <w:r w:rsidRPr="00B90DD9">
        <w:rPr>
          <w:rFonts w:ascii="Times New Roman" w:hAnsi="Times New Roman"/>
          <w:color w:val="0070C0"/>
          <w:sz w:val="24"/>
          <w:szCs w:val="24"/>
          <w:lang w:eastAsia="nl-NL"/>
        </w:rPr>
        <w:t>l</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k mesle</w:t>
      </w:r>
      <w:r w:rsidRPr="00B90DD9">
        <w:rPr>
          <w:rFonts w:ascii="Times New Roman" w:hAnsi="Times New Roman" w:hint="eastAsia"/>
          <w:color w:val="0070C0"/>
          <w:sz w:val="24"/>
          <w:szCs w:val="24"/>
          <w:lang w:eastAsia="nl-NL"/>
        </w:rPr>
        <w:t>ğ</w:t>
      </w:r>
      <w:r w:rsidRPr="00B90DD9">
        <w:rPr>
          <w:rFonts w:ascii="Times New Roman" w:hAnsi="Times New Roman"/>
          <w:color w:val="0070C0"/>
          <w:sz w:val="24"/>
          <w:szCs w:val="24"/>
          <w:lang w:eastAsia="nl-NL"/>
        </w:rPr>
        <w:t>i mensuplar</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n</w:t>
      </w:r>
      <w:r w:rsidRPr="00B90DD9">
        <w:rPr>
          <w:rFonts w:ascii="Times New Roman" w:hAnsi="Times New Roman" w:hint="eastAsia"/>
          <w:color w:val="0070C0"/>
          <w:sz w:val="24"/>
          <w:szCs w:val="24"/>
          <w:lang w:eastAsia="nl-NL"/>
        </w:rPr>
        <w:t>ı</w:t>
      </w:r>
      <w:r w:rsidRPr="00B90DD9">
        <w:rPr>
          <w:rFonts w:ascii="Times New Roman" w:hAnsi="Times New Roman"/>
          <w:color w:val="0070C0"/>
          <w:sz w:val="24"/>
          <w:szCs w:val="24"/>
          <w:lang w:eastAsia="nl-NL"/>
        </w:rPr>
        <w:t xml:space="preserve">n herhangi bir </w:t>
      </w:r>
      <w:r w:rsidRPr="00B90DD9">
        <w:rPr>
          <w:rFonts w:ascii="Times New Roman" w:hAnsi="Times New Roman" w:hint="eastAsia"/>
          <w:color w:val="0070C0"/>
          <w:sz w:val="24"/>
          <w:szCs w:val="24"/>
          <w:lang w:eastAsia="nl-NL"/>
        </w:rPr>
        <w:t>şü</w:t>
      </w:r>
      <w:r w:rsidRPr="00B90DD9">
        <w:rPr>
          <w:rFonts w:ascii="Times New Roman" w:hAnsi="Times New Roman"/>
          <w:color w:val="0070C0"/>
          <w:sz w:val="24"/>
          <w:szCs w:val="24"/>
          <w:lang w:eastAsia="nl-NL"/>
        </w:rPr>
        <w:t>pheli advers reaksiyonu Türkiye Farmakovijilans Merkezi (TÜFAM)'ne bildirmeleri gerekmektedir. (</w:t>
      </w:r>
      <w:r w:rsidRPr="00B90DD9">
        <w:rPr>
          <w:rFonts w:ascii="Times New Roman" w:hAnsi="Times New Roman"/>
          <w:color w:val="0070C0"/>
          <w:sz w:val="24"/>
          <w:szCs w:val="24"/>
          <w:u w:val="single"/>
          <w:lang w:eastAsia="nl-NL"/>
        </w:rPr>
        <w:t>www.titck.gov.tr</w:t>
      </w:r>
      <w:r w:rsidRPr="00B90DD9">
        <w:rPr>
          <w:rFonts w:ascii="Times New Roman" w:hAnsi="Times New Roman"/>
          <w:color w:val="0070C0"/>
          <w:sz w:val="24"/>
          <w:szCs w:val="24"/>
          <w:lang w:eastAsia="nl-NL"/>
        </w:rPr>
        <w:t xml:space="preserve">;          e-posta: </w:t>
      </w:r>
      <w:r w:rsidRPr="00B90DD9">
        <w:rPr>
          <w:rFonts w:ascii="Times New Roman" w:hAnsi="Times New Roman"/>
          <w:color w:val="0070C0"/>
          <w:sz w:val="24"/>
          <w:szCs w:val="24"/>
          <w:u w:val="single"/>
          <w:lang w:eastAsia="nl-NL"/>
        </w:rPr>
        <w:t>tufam@titck.gov.tr</w:t>
      </w:r>
      <w:r w:rsidRPr="00B90DD9">
        <w:rPr>
          <w:rFonts w:ascii="Times New Roman" w:hAnsi="Times New Roman"/>
          <w:color w:val="0070C0"/>
          <w:sz w:val="24"/>
          <w:szCs w:val="24"/>
          <w:lang w:eastAsia="nl-NL"/>
        </w:rPr>
        <w:t>; tel: 0 800 314 00 08; faks: 0 312 218 35 99)</w:t>
      </w:r>
    </w:p>
    <w:p w:rsidR="00B90DD9" w:rsidRPr="006E16EB" w:rsidRDefault="00B90DD9" w:rsidP="00B90DD9">
      <w:pPr>
        <w:pStyle w:val="Default"/>
        <w:tabs>
          <w:tab w:val="left" w:pos="142"/>
        </w:tabs>
        <w:jc w:val="both"/>
        <w:rPr>
          <w:rFonts w:ascii="Times New Roman" w:hAnsi="Times New Roman" w:cs="Times New Roman"/>
          <w:b/>
          <w:bCs/>
          <w:i/>
          <w:iCs/>
          <w:color w:val="000000" w:themeColor="text1"/>
        </w:rPr>
      </w:pPr>
    </w:p>
    <w:p w:rsidR="00C95123" w:rsidRPr="006E16EB" w:rsidRDefault="00C95123" w:rsidP="004B1856">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iCs/>
          <w:color w:val="000000" w:themeColor="text1"/>
        </w:rPr>
        <w:t xml:space="preserve">4.9 </w:t>
      </w:r>
      <w:r w:rsidRPr="006E16EB">
        <w:rPr>
          <w:rFonts w:ascii="Times New Roman" w:hAnsi="Times New Roman" w:cs="Times New Roman"/>
          <w:b/>
          <w:bCs/>
          <w:color w:val="000000" w:themeColor="text1"/>
        </w:rPr>
        <w:t>Doz a</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 xml:space="preserve">ımı ve tedavisi </w:t>
      </w:r>
    </w:p>
    <w:p w:rsidR="00141FF1" w:rsidRPr="006E16EB" w:rsidRDefault="00141FF1" w:rsidP="00B90DD9">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İ</w:t>
      </w:r>
      <w:r w:rsidR="00C95123" w:rsidRPr="006E16EB">
        <w:rPr>
          <w:rFonts w:ascii="Times New Roman" w:hAnsi="Times New Roman" w:cs="Times New Roman"/>
          <w:color w:val="000000" w:themeColor="text1"/>
        </w:rPr>
        <w:t xml:space="preserve">nsanlarda doz aşımı belirtileri bilinmemektedir. </w:t>
      </w:r>
    </w:p>
    <w:p w:rsidR="00141FF1" w:rsidRPr="006E16EB" w:rsidRDefault="00C95123" w:rsidP="00B90DD9">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2 dakika içinde 240 mg i.v. dozlara kadar uygulanmış ve iyi tolere edilmiştir. </w:t>
      </w:r>
    </w:p>
    <w:p w:rsidR="00141FF1" w:rsidRPr="006E16EB" w:rsidRDefault="00C95123" w:rsidP="00B90DD9">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 proteinlere yüksek oranda bağlandığı için, hemen diyaliz edilemez. </w:t>
      </w:r>
    </w:p>
    <w:p w:rsidR="00C95123" w:rsidRPr="006E16EB" w:rsidRDefault="00C95123" w:rsidP="00B90DD9">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Aşırı dozda alınması sonucu zehirlenme belirtileri görüldüğünde semptomatik ve destekleyici tedavi</w:t>
      </w:r>
      <w:r w:rsidR="004B1856" w:rsidRPr="006E16EB">
        <w:rPr>
          <w:rFonts w:ascii="Times New Roman" w:eastAsiaTheme="minorHAnsi" w:hAnsi="Times New Roman" w:cs="Times New Roman"/>
          <w:lang w:eastAsia="en-US"/>
        </w:rPr>
        <w:t xml:space="preserve"> </w:t>
      </w:r>
      <w:r w:rsidR="004B1856" w:rsidRPr="006E16EB">
        <w:rPr>
          <w:rFonts w:ascii="Times New Roman" w:eastAsiaTheme="minorHAnsi" w:hAnsi="Times New Roman" w:cs="Times New Roman"/>
          <w:color w:val="auto"/>
          <w:lang w:eastAsia="en-US"/>
        </w:rPr>
        <w:t>uygulanması dışında bir terapötik uygulama tavsiye edilemez.</w:t>
      </w:r>
      <w:r w:rsidRPr="006E16EB">
        <w:rPr>
          <w:rFonts w:ascii="Times New Roman" w:hAnsi="Times New Roman" w:cs="Times New Roman"/>
          <w:color w:val="000000" w:themeColor="text1"/>
        </w:rPr>
        <w:t xml:space="preserve">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lastRenderedPageBreak/>
        <w:t>5. FARMAKOLOJ</w:t>
      </w:r>
      <w:r w:rsidR="009D08E5" w:rsidRPr="006E16EB">
        <w:rPr>
          <w:rFonts w:ascii="Times New Roman" w:hAnsi="Times New Roman" w:cs="Times New Roman"/>
          <w:b/>
          <w:bCs/>
          <w:color w:val="000000" w:themeColor="text1"/>
        </w:rPr>
        <w:t>İ</w:t>
      </w:r>
      <w:r w:rsidRPr="006E16EB">
        <w:rPr>
          <w:rFonts w:ascii="Times New Roman" w:hAnsi="Times New Roman" w:cs="Times New Roman"/>
          <w:b/>
          <w:bCs/>
          <w:color w:val="000000" w:themeColor="text1"/>
        </w:rPr>
        <w:t>K ÖZELL</w:t>
      </w:r>
      <w:r w:rsidR="009D08E5" w:rsidRPr="006E16EB">
        <w:rPr>
          <w:rFonts w:ascii="Times New Roman" w:hAnsi="Times New Roman" w:cs="Times New Roman"/>
          <w:b/>
          <w:bCs/>
          <w:color w:val="000000" w:themeColor="text1"/>
        </w:rPr>
        <w:t>İ</w:t>
      </w:r>
      <w:r w:rsidRPr="006E16EB">
        <w:rPr>
          <w:rFonts w:ascii="Times New Roman" w:hAnsi="Times New Roman" w:cs="Times New Roman"/>
          <w:b/>
          <w:bCs/>
          <w:color w:val="000000" w:themeColor="text1"/>
        </w:rPr>
        <w:t xml:space="preserve">KLER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iCs/>
          <w:color w:val="000000" w:themeColor="text1"/>
        </w:rPr>
        <w:t xml:space="preserve">5.1 </w:t>
      </w:r>
      <w:r w:rsidRPr="006E16EB">
        <w:rPr>
          <w:rFonts w:ascii="Times New Roman" w:hAnsi="Times New Roman" w:cs="Times New Roman"/>
          <w:b/>
          <w:bCs/>
          <w:color w:val="000000" w:themeColor="text1"/>
        </w:rPr>
        <w:t xml:space="preserve">Farmakodinamik özellikler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Farmakoterapötik grup: Proton pompası inhibitörleri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ATC kodu: A02BC02 </w:t>
      </w:r>
    </w:p>
    <w:p w:rsidR="004B1856" w:rsidRPr="006E16EB" w:rsidRDefault="004B1856" w:rsidP="00B90DD9">
      <w:pPr>
        <w:pStyle w:val="Default"/>
        <w:tabs>
          <w:tab w:val="left" w:pos="142"/>
        </w:tabs>
        <w:jc w:val="both"/>
        <w:rPr>
          <w:rFonts w:ascii="Times New Roman" w:hAnsi="Times New Roman" w:cs="Times New Roman"/>
          <w:color w:val="000000" w:themeColor="text1"/>
          <w:u w:val="single"/>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 xml:space="preserve">Etki Mekanizması </w:t>
      </w:r>
    </w:p>
    <w:p w:rsidR="00C95123" w:rsidRPr="006E16EB" w:rsidRDefault="00C95123"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 bir sübstitüye benzimidazol olup, pariyetal hücrelerde bulunan proton pompalarına spesifik etkisi ile midede hidroklorik asit salgılanmasını inhibe eder. </w:t>
      </w:r>
    </w:p>
    <w:p w:rsidR="000B7B24" w:rsidRPr="006E16EB" w:rsidRDefault="00C95123" w:rsidP="000B7B24">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Pantoprazol, pariyetal hücrelerin asidik ortamında aktif formuna dönüşür ve midede hidroklorik asit üretiminin son aşaması olan H</w:t>
      </w:r>
      <w:r w:rsidRPr="006E16EB">
        <w:rPr>
          <w:rFonts w:ascii="Times New Roman" w:hAnsi="Times New Roman" w:cs="Times New Roman"/>
          <w:color w:val="000000" w:themeColor="text1"/>
          <w:vertAlign w:val="superscript"/>
        </w:rPr>
        <w:t>+</w:t>
      </w:r>
      <w:r w:rsidRPr="006E16EB">
        <w:rPr>
          <w:rFonts w:ascii="Times New Roman" w:hAnsi="Times New Roman" w:cs="Times New Roman"/>
          <w:color w:val="000000" w:themeColor="text1"/>
        </w:rPr>
        <w:t>, K</w:t>
      </w:r>
      <w:r w:rsidRPr="006E16EB">
        <w:rPr>
          <w:rFonts w:ascii="Times New Roman" w:hAnsi="Times New Roman" w:cs="Times New Roman"/>
          <w:color w:val="000000" w:themeColor="text1"/>
          <w:vertAlign w:val="superscript"/>
        </w:rPr>
        <w:t>+</w:t>
      </w:r>
      <w:r w:rsidRPr="006E16EB">
        <w:rPr>
          <w:rFonts w:ascii="Times New Roman" w:hAnsi="Times New Roman" w:cs="Times New Roman"/>
          <w:color w:val="000000" w:themeColor="text1"/>
        </w:rPr>
        <w:t xml:space="preserve">-ATPaz enziminin inhibisyonunu sağlar. </w:t>
      </w:r>
      <w:r w:rsidR="000B7B24" w:rsidRPr="006E16EB">
        <w:rPr>
          <w:rFonts w:ascii="Times New Roman" w:hAnsi="Times New Roman" w:cs="Times New Roman"/>
          <w:color w:val="000000" w:themeColor="text1"/>
        </w:rPr>
        <w:t>İ</w:t>
      </w:r>
      <w:r w:rsidRPr="006E16EB">
        <w:rPr>
          <w:rFonts w:ascii="Times New Roman" w:hAnsi="Times New Roman" w:cs="Times New Roman"/>
          <w:color w:val="000000" w:themeColor="text1"/>
        </w:rPr>
        <w:t xml:space="preserve">nhibisyon doza bağlı olup, </w:t>
      </w:r>
      <w:r w:rsidR="000B7B24" w:rsidRPr="006E16EB">
        <w:rPr>
          <w:rFonts w:ascii="Times New Roman" w:hAnsi="Times New Roman" w:cs="Times New Roman"/>
          <w:color w:val="000000" w:themeColor="text1"/>
        </w:rPr>
        <w:t xml:space="preserve">hem </w:t>
      </w:r>
      <w:r w:rsidRPr="006E16EB">
        <w:rPr>
          <w:rFonts w:ascii="Times New Roman" w:hAnsi="Times New Roman" w:cs="Times New Roman"/>
          <w:color w:val="000000" w:themeColor="text1"/>
        </w:rPr>
        <w:t xml:space="preserve">bazal </w:t>
      </w:r>
      <w:r w:rsidR="000B7B24" w:rsidRPr="006E16EB">
        <w:rPr>
          <w:rFonts w:ascii="Times New Roman" w:hAnsi="Times New Roman" w:cs="Times New Roman"/>
          <w:color w:val="000000" w:themeColor="text1"/>
        </w:rPr>
        <w:t>hem de</w:t>
      </w:r>
      <w:r w:rsidRPr="006E16EB">
        <w:rPr>
          <w:rFonts w:ascii="Times New Roman" w:hAnsi="Times New Roman" w:cs="Times New Roman"/>
          <w:color w:val="000000" w:themeColor="text1"/>
        </w:rPr>
        <w:t xml:space="preserve"> stimule asit salgılanmasını etkiler. Birçok hastada semptomların düzelmesi iki hafta içinde gerçekleşir.</w:t>
      </w:r>
      <w:r w:rsidR="000B7B24" w:rsidRPr="006E16EB">
        <w:rPr>
          <w:rFonts w:ascii="Times New Roman" w:hAnsi="Times New Roman" w:cs="Times New Roman"/>
          <w:color w:val="000000" w:themeColor="text1"/>
        </w:rPr>
        <w:t xml:space="preserve"> </w:t>
      </w:r>
      <w:r w:rsidR="000B7B24" w:rsidRPr="006E16EB">
        <w:rPr>
          <w:rFonts w:ascii="Times New Roman" w:eastAsiaTheme="minorHAnsi" w:hAnsi="Times New Roman" w:cs="Times New Roman"/>
          <w:color w:val="auto"/>
          <w:lang w:eastAsia="en-US"/>
        </w:rPr>
        <w:t xml:space="preserve">Diğer proton pompası inhibitörleri ve H2 reseptör inhibitörlerinde olduğu gibi pantoprazol ile tedavi, midedeki asiditeyi azaltır ve böylece asiditedeki azalmayla orantılı olarak gastrin artışı sağlar. Gastrin artışı geri dönüşümlüdür. </w:t>
      </w:r>
      <w:r w:rsidR="000B7B24" w:rsidRPr="006E16EB">
        <w:rPr>
          <w:rFonts w:ascii="Times New Roman" w:hAnsi="Times New Roman" w:cs="Times New Roman"/>
          <w:color w:val="000000" w:themeColor="text1"/>
        </w:rPr>
        <w:t xml:space="preserve">Pantoprazol, enzimle reseptör distalinde etkileştiği için öteki maddelerle stimülasyondan da etkilenmeksizin (asetilkolin, histamin, gastrin) hidroklorik asit sekresyonunu inhibe eder. </w:t>
      </w:r>
      <w:r w:rsidRPr="006E16EB">
        <w:rPr>
          <w:rFonts w:ascii="Times New Roman" w:hAnsi="Times New Roman" w:cs="Times New Roman"/>
          <w:color w:val="000000" w:themeColor="text1"/>
        </w:rPr>
        <w:t xml:space="preserve">Oral veya intravenöz uygulamada aynı etki görülür. </w:t>
      </w:r>
    </w:p>
    <w:p w:rsidR="000B7B24" w:rsidRPr="006E16EB" w:rsidRDefault="000B7B24" w:rsidP="000B7B24">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eastAsiaTheme="minorHAnsi" w:hAnsi="Times New Roman" w:cs="Times New Roman"/>
          <w:color w:val="auto"/>
          <w:lang w:eastAsia="en-US"/>
        </w:rPr>
        <w:t>Açlık durumundaki gastrin değerleri pantoprazol ile artar. Kısa süreli kullanımda çoğu durumda normalin üst limitini aşmaz. Uzun süreli tedavide pek çok durumda gastrin seviyesi iki katına çıkar. Ancak nadir durumlarda aşırı artış meydana gelir. Sonuç olarak, uzun süreli tedavi süresince çok az vakada (basit veya adenomatoid hiperplazi) midedeki spesifik endokrin (ECL) hücrelerinin sayısında hafif ila orta derecede artış meydana gelir. Ancak bugüne kadar gerçekleştirilmiş olan çalışmalara göre, hayvanlar üzerinde yapılan çalışmalarda gözlenen karsinoid prekürsör (atipik hiperplazi) veya gastrik karsinoid oluşumu (bkz bölüm 5.3), insanlarda gözlenmemiştir.</w:t>
      </w:r>
    </w:p>
    <w:p w:rsidR="000B7B24" w:rsidRPr="006E16EB" w:rsidRDefault="000B7B24" w:rsidP="000B7B24">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6E16EB">
        <w:rPr>
          <w:rFonts w:ascii="Times New Roman" w:eastAsiaTheme="minorHAnsi" w:hAnsi="Times New Roman" w:cs="Times New Roman"/>
          <w:sz w:val="24"/>
          <w:szCs w:val="24"/>
          <w:lang w:eastAsia="en-US"/>
        </w:rPr>
        <w:t xml:space="preserve">Proton pompası inhibitörleri dahil, herhangi bir sebepten dolayı azalan gastrik asidite, gastrointestinal sistemde normal olarak var olan bakterilerin sayısında artışa neden olur. </w:t>
      </w:r>
    </w:p>
    <w:p w:rsidR="000B7B24" w:rsidRPr="006E16EB" w:rsidRDefault="000B7B24" w:rsidP="000B7B24">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6E16EB">
        <w:rPr>
          <w:rFonts w:ascii="Times New Roman" w:eastAsiaTheme="minorHAnsi" w:hAnsi="Times New Roman" w:cs="Times New Roman"/>
          <w:sz w:val="24"/>
          <w:szCs w:val="24"/>
          <w:lang w:eastAsia="en-US"/>
        </w:rPr>
        <w:t xml:space="preserve">Proton pompası inhibitörleri ile tedavi, Salmonella ve Camphylobacter ve muhtemelen ayrıca hastanede yatan hastalarda Clostridum difficile gibi gastrointestinal enfeksiyonların riskini az da olsa arttırabilir. </w:t>
      </w:r>
    </w:p>
    <w:p w:rsidR="000B7B24" w:rsidRPr="006E16EB" w:rsidRDefault="000B7B24" w:rsidP="000B7B24">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eastAsiaTheme="minorHAnsi" w:hAnsi="Times New Roman" w:cs="Times New Roman"/>
          <w:color w:val="auto"/>
          <w:lang w:eastAsia="en-US"/>
        </w:rPr>
        <w:t>Hayvanlar üzerinde yapılan çalışmaların sonuçlarına göre, pantoprazol ile bir yılı aşan uzun süreli tedavinin, tiroidin endokrin parametreleri üzerindeki etkisi tamamen göz ardı edilemez.</w:t>
      </w:r>
    </w:p>
    <w:p w:rsidR="000B7B24" w:rsidRDefault="000B7B24" w:rsidP="004372F6">
      <w:pPr>
        <w:pStyle w:val="Default"/>
        <w:tabs>
          <w:tab w:val="left" w:pos="142"/>
        </w:tabs>
        <w:jc w:val="both"/>
        <w:rPr>
          <w:rFonts w:ascii="Times New Roman" w:hAnsi="Times New Roman" w:cs="Times New Roman"/>
          <w:color w:val="FF0000"/>
        </w:rPr>
      </w:pPr>
    </w:p>
    <w:p w:rsidR="00B90DD9" w:rsidRDefault="00B90DD9" w:rsidP="004372F6">
      <w:pPr>
        <w:pStyle w:val="Default"/>
        <w:tabs>
          <w:tab w:val="left" w:pos="142"/>
        </w:tabs>
        <w:jc w:val="both"/>
        <w:rPr>
          <w:rFonts w:ascii="Times New Roman" w:hAnsi="Times New Roman" w:cs="Times New Roman"/>
          <w:color w:val="FF0000"/>
        </w:rPr>
      </w:pPr>
    </w:p>
    <w:p w:rsidR="00B90DD9" w:rsidRPr="006E16EB" w:rsidRDefault="00B90DD9" w:rsidP="004372F6">
      <w:pPr>
        <w:pStyle w:val="Default"/>
        <w:tabs>
          <w:tab w:val="left" w:pos="142"/>
        </w:tabs>
        <w:jc w:val="both"/>
        <w:rPr>
          <w:rFonts w:ascii="Times New Roman" w:hAnsi="Times New Roman" w:cs="Times New Roman"/>
          <w:color w:val="FF0000"/>
        </w:rPr>
      </w:pPr>
    </w:p>
    <w:p w:rsidR="00141FF1" w:rsidRPr="006E16EB" w:rsidRDefault="00C95123" w:rsidP="000B7B24">
      <w:pPr>
        <w:pStyle w:val="Default"/>
        <w:tabs>
          <w:tab w:val="left" w:pos="142"/>
        </w:tabs>
        <w:spacing w:line="360" w:lineRule="auto"/>
        <w:jc w:val="both"/>
        <w:rPr>
          <w:rFonts w:ascii="Times New Roman" w:hAnsi="Times New Roman" w:cs="Times New Roman"/>
          <w:b/>
          <w:bCs/>
          <w:color w:val="000000" w:themeColor="text1"/>
        </w:rPr>
      </w:pPr>
      <w:r w:rsidRPr="006E16EB">
        <w:rPr>
          <w:rFonts w:ascii="Times New Roman" w:hAnsi="Times New Roman" w:cs="Times New Roman"/>
          <w:b/>
          <w:bCs/>
          <w:color w:val="000000" w:themeColor="text1"/>
        </w:rPr>
        <w:lastRenderedPageBreak/>
        <w:t xml:space="preserve">5.2 Farmakokinetik özellikler </w:t>
      </w:r>
    </w:p>
    <w:p w:rsidR="00141FF1" w:rsidRPr="006E16EB" w:rsidRDefault="00C95123" w:rsidP="00FA660C">
      <w:pPr>
        <w:pStyle w:val="Default"/>
        <w:tabs>
          <w:tab w:val="left" w:pos="142"/>
        </w:tabs>
        <w:spacing w:line="360" w:lineRule="auto"/>
        <w:jc w:val="both"/>
        <w:rPr>
          <w:rFonts w:ascii="Times New Roman" w:hAnsi="Times New Roman" w:cs="Times New Roman"/>
          <w:b/>
          <w:bCs/>
          <w:color w:val="000000" w:themeColor="text1"/>
        </w:rPr>
      </w:pPr>
      <w:r w:rsidRPr="006E16EB">
        <w:rPr>
          <w:rFonts w:ascii="Times New Roman" w:hAnsi="Times New Roman" w:cs="Times New Roman"/>
          <w:b/>
          <w:bCs/>
          <w:color w:val="000000" w:themeColor="text1"/>
        </w:rPr>
        <w:t xml:space="preserve">Genel farmakokinetik </w:t>
      </w:r>
    </w:p>
    <w:p w:rsidR="009D08E5" w:rsidRPr="006E16EB" w:rsidRDefault="00C95123"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 xml:space="preserve">Emilim: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 hızla absorbe edilir ve 40 mg oral tek dozdan sonra bile maksimum plazma düzeyine ulaşır. Uygulamadan ortalama 2.5 saat sonra yaklaşık 2-3 </w:t>
      </w:r>
      <w:r w:rsidR="000B7B24" w:rsidRPr="006E16EB">
        <w:rPr>
          <w:rFonts w:ascii="Times New Roman" w:hAnsi="Times New Roman" w:cs="Times New Roman"/>
          <w:color w:val="000000" w:themeColor="text1"/>
        </w:rPr>
        <w:t>mc</w:t>
      </w:r>
      <w:r w:rsidRPr="006E16EB">
        <w:rPr>
          <w:rFonts w:ascii="Times New Roman" w:hAnsi="Times New Roman" w:cs="Times New Roman"/>
          <w:color w:val="000000" w:themeColor="text1"/>
        </w:rPr>
        <w:t xml:space="preserve">g/mL olan serum konsantrasyonlarına ulaşılır ve bu değerler çoklu uygulamadan sonra sabit kalır.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Farmakokinetik tek doz veya tekrarlayan dozlardan sonra değişiklik göstermez.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Tabletin mutlak biyoyararlanımı yaklaşık % 77’dir. Besinlerle birlikte alınması</w:t>
      </w:r>
      <w:r w:rsidR="000B7B24" w:rsidRPr="006E16EB">
        <w:rPr>
          <w:rFonts w:ascii="Times New Roman" w:hAnsi="Times New Roman" w:cs="Times New Roman"/>
          <w:color w:val="000000" w:themeColor="text1"/>
        </w:rPr>
        <w:t xml:space="preserve">, </w:t>
      </w:r>
      <w:r w:rsidRPr="006E16EB">
        <w:rPr>
          <w:rFonts w:ascii="Times New Roman" w:hAnsi="Times New Roman" w:cs="Times New Roman"/>
          <w:color w:val="000000" w:themeColor="text1"/>
        </w:rPr>
        <w:t xml:space="preserve"> </w:t>
      </w:r>
      <w:r w:rsidR="000B7B24" w:rsidRPr="006E16EB">
        <w:rPr>
          <w:rFonts w:ascii="Times New Roman" w:hAnsi="Times New Roman" w:cs="Times New Roman"/>
          <w:color w:val="000000" w:themeColor="text1"/>
        </w:rPr>
        <w:t xml:space="preserve">Eğri Altında Kalan Alan </w:t>
      </w:r>
      <w:r w:rsidRPr="006E16EB">
        <w:rPr>
          <w:rFonts w:ascii="Times New Roman" w:hAnsi="Times New Roman" w:cs="Times New Roman"/>
          <w:color w:val="000000" w:themeColor="text1"/>
        </w:rPr>
        <w:t>(</w:t>
      </w:r>
      <w:r w:rsidR="000B7B24" w:rsidRPr="006E16EB">
        <w:rPr>
          <w:rFonts w:ascii="Times New Roman" w:hAnsi="Times New Roman" w:cs="Times New Roman"/>
          <w:color w:val="000000" w:themeColor="text1"/>
        </w:rPr>
        <w:t>EAA</w:t>
      </w:r>
      <w:r w:rsidRPr="006E16EB">
        <w:rPr>
          <w:rFonts w:ascii="Times New Roman" w:hAnsi="Times New Roman" w:cs="Times New Roman"/>
          <w:color w:val="000000" w:themeColor="text1"/>
        </w:rPr>
        <w:t xml:space="preserve">) değerini, maksimum serum konsantrasyonunu ve sonuçta biyoyararlanımı etkilemez. Besinlerle birlikte alınması sadece </w:t>
      </w:r>
      <w:r w:rsidR="000B7B24" w:rsidRPr="006E16EB">
        <w:rPr>
          <w:rFonts w:ascii="Times New Roman" w:hAnsi="Times New Roman" w:cs="Times New Roman"/>
          <w:color w:val="000000" w:themeColor="text1"/>
        </w:rPr>
        <w:t>gecikme</w:t>
      </w:r>
      <w:r w:rsidRPr="006E16EB">
        <w:rPr>
          <w:rFonts w:ascii="Times New Roman" w:hAnsi="Times New Roman" w:cs="Times New Roman"/>
          <w:color w:val="000000" w:themeColor="text1"/>
        </w:rPr>
        <w:t xml:space="preserve"> süresinin değişkenliğini artırır.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Dağılım: </w:t>
      </w:r>
    </w:p>
    <w:p w:rsidR="000B7B24" w:rsidRPr="006E16EB" w:rsidRDefault="000B7B24"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Pantoprazol serum proteinlerine yaklaşık %98 oranında bağlanır.  </w:t>
      </w:r>
      <w:r w:rsidR="00C95123" w:rsidRPr="006E16EB">
        <w:rPr>
          <w:rFonts w:ascii="Times New Roman" w:hAnsi="Times New Roman" w:cs="Times New Roman"/>
          <w:color w:val="000000" w:themeColor="text1"/>
        </w:rPr>
        <w:t>Dağılım hacmi yaklaşık 0.15 L/kg’dır</w:t>
      </w:r>
      <w:r w:rsidRPr="006E16EB">
        <w:rPr>
          <w:rFonts w:ascii="Times New Roman" w:hAnsi="Times New Roman" w:cs="Times New Roman"/>
          <w:color w:val="000000" w:themeColor="text1"/>
        </w:rPr>
        <w:t>.</w:t>
      </w:r>
    </w:p>
    <w:p w:rsidR="00C95123" w:rsidRPr="006E16EB" w:rsidRDefault="00C95123"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Biyotransformasyon: </w:t>
      </w:r>
    </w:p>
    <w:p w:rsidR="00C95123" w:rsidRPr="006E16EB" w:rsidRDefault="00C95123" w:rsidP="000B7B24">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Pantoprazolün tamamı</w:t>
      </w:r>
      <w:r w:rsidR="000B7B24" w:rsidRPr="006E16EB">
        <w:rPr>
          <w:rFonts w:ascii="Times New Roman" w:hAnsi="Times New Roman" w:cs="Times New Roman"/>
          <w:color w:val="000000" w:themeColor="text1"/>
        </w:rPr>
        <w:t>na yakını</w:t>
      </w:r>
      <w:r w:rsidRPr="006E16EB">
        <w:rPr>
          <w:rFonts w:ascii="Times New Roman" w:hAnsi="Times New Roman" w:cs="Times New Roman"/>
          <w:color w:val="000000" w:themeColor="text1"/>
        </w:rPr>
        <w:t xml:space="preserve"> karaciğerde metabolize olur. Ana metabolik yolak CYP2C19 ile demetilasyon ile bunu izleyen sülfat konjugasyonudur, diğer metabolik yolak CYP3A4 ile oksidasyondur. </w:t>
      </w:r>
      <w:r w:rsidR="000B7B24" w:rsidRPr="006E16EB">
        <w:rPr>
          <w:rFonts w:ascii="Times New Roman" w:eastAsiaTheme="minorHAnsi" w:hAnsi="Times New Roman" w:cs="Times New Roman"/>
          <w:lang w:eastAsia="en-US"/>
        </w:rPr>
        <w:t xml:space="preserve"> </w:t>
      </w:r>
      <w:r w:rsidR="000B7B24" w:rsidRPr="006E16EB">
        <w:rPr>
          <w:rFonts w:ascii="Times New Roman" w:eastAsiaTheme="minorHAnsi" w:hAnsi="Times New Roman" w:cs="Times New Roman"/>
          <w:color w:val="auto"/>
          <w:lang w:eastAsia="en-US"/>
        </w:rPr>
        <w:t>Gerek serum gerekse idrardaki ana metabolit, sülfatla konjuge olan desmetilpantoprazoldür.</w:t>
      </w:r>
    </w:p>
    <w:p w:rsidR="00C95123" w:rsidRPr="006E16EB" w:rsidRDefault="00C95123"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Eliminasyon: </w:t>
      </w:r>
    </w:p>
    <w:p w:rsidR="00C95123" w:rsidRPr="006E16EB" w:rsidRDefault="00C95123" w:rsidP="000B7B24">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 xml:space="preserve">Pantoprazol metabolitleri başlıca renal yolla (yaklaşık %80’i), kalanı feçes ile atılır. </w:t>
      </w:r>
      <w:r w:rsidR="000B7B24" w:rsidRPr="006E16EB">
        <w:rPr>
          <w:rFonts w:ascii="Times New Roman" w:eastAsiaTheme="minorHAnsi" w:hAnsi="Times New Roman" w:cs="Times New Roman"/>
          <w:lang w:eastAsia="en-US"/>
        </w:rPr>
        <w:t xml:space="preserve"> </w:t>
      </w:r>
      <w:r w:rsidR="000B7B24" w:rsidRPr="006E16EB">
        <w:rPr>
          <w:rFonts w:ascii="Times New Roman" w:eastAsiaTheme="minorHAnsi" w:hAnsi="Times New Roman" w:cs="Times New Roman"/>
          <w:color w:val="auto"/>
          <w:lang w:eastAsia="en-US"/>
        </w:rPr>
        <w:t xml:space="preserve">Terminal yarılanma ömrü yaklaşık bir saattir ve klerens yaklaşık 0.11/h/kg’dır. Eliminasyonun geciktiği birkaç vaka görülmüştür. Pantoprazolün pariyetal hücrelerin proton pompalarına spesifik olarak bağlanması nedeniyle, eliminasyon yarı-ömrü, daha uzun etkinlik süreleri ile orantılı değildir (asit sekresyonunun inhibisyonu). </w:t>
      </w:r>
      <w:r w:rsidRPr="006E16EB">
        <w:rPr>
          <w:rFonts w:ascii="Times New Roman" w:hAnsi="Times New Roman" w:cs="Times New Roman"/>
          <w:color w:val="000000" w:themeColor="text1"/>
        </w:rPr>
        <w:t>Ana metabolitin yarılanma ömrü (yaklaşık 1.5 sa</w:t>
      </w:r>
      <w:r w:rsidR="00447A17" w:rsidRPr="006E16EB">
        <w:rPr>
          <w:rFonts w:ascii="Times New Roman" w:hAnsi="Times New Roman" w:cs="Times New Roman"/>
          <w:color w:val="000000" w:themeColor="text1"/>
        </w:rPr>
        <w:t>at</w:t>
      </w:r>
      <w:r w:rsidRPr="006E16EB">
        <w:rPr>
          <w:rFonts w:ascii="Times New Roman" w:hAnsi="Times New Roman" w:cs="Times New Roman"/>
          <w:color w:val="000000" w:themeColor="text1"/>
        </w:rPr>
        <w:t xml:space="preserve">), pantoprazolden daha uzun değildir. </w:t>
      </w:r>
    </w:p>
    <w:p w:rsidR="00C95123" w:rsidRPr="006E16EB" w:rsidRDefault="00C95123"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Doğrusallık/doğrusal olmayan durum: </w:t>
      </w:r>
    </w:p>
    <w:p w:rsidR="00C95123" w:rsidRPr="006E16EB" w:rsidRDefault="00447A17" w:rsidP="000B7B24">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Pantaprazol’un farmakokinetiği, tek doz veya tekrarlayan dozlardan sonra değişiklik göstermez.  </w:t>
      </w:r>
      <w:r w:rsidR="00C95123" w:rsidRPr="006E16EB">
        <w:rPr>
          <w:rFonts w:ascii="Times New Roman" w:hAnsi="Times New Roman" w:cs="Times New Roman"/>
          <w:color w:val="000000" w:themeColor="text1"/>
        </w:rPr>
        <w:t xml:space="preserve">10-80 mg’lık doz aralığında, hem oral hem intravenöz uygulamadan sonra pantoprazolün plazma kinetiği doğrusaldır. </w:t>
      </w:r>
    </w:p>
    <w:p w:rsidR="000B7B24" w:rsidRPr="006E16EB" w:rsidRDefault="000B7B24" w:rsidP="00B90DD9">
      <w:pPr>
        <w:pStyle w:val="Default"/>
        <w:tabs>
          <w:tab w:val="left" w:pos="142"/>
        </w:tabs>
        <w:jc w:val="both"/>
        <w:rPr>
          <w:rFonts w:ascii="Times New Roman" w:hAnsi="Times New Roman" w:cs="Times New Roman"/>
          <w:b/>
          <w:bCs/>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Hastalardaki karakteristik özellikler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 xml:space="preserve">Polimorfik metabolizma: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Avrupa popülasyonunun yaklaşık %3’ü fonksiyonel CYP2C19 enziminden yoksundur ve bu kişiler zayıf metabolize ediciler olarak adlandırılırlar. Bu bireylerde pantoprazolün </w:t>
      </w:r>
      <w:r w:rsidRPr="006E16EB">
        <w:rPr>
          <w:rFonts w:ascii="Times New Roman" w:hAnsi="Times New Roman" w:cs="Times New Roman"/>
          <w:color w:val="000000" w:themeColor="text1"/>
        </w:rPr>
        <w:lastRenderedPageBreak/>
        <w:t xml:space="preserve">metabolizması CYP3A4 enzimiyle gerçekleşir. 40 mg pantoprazolün tek doz uygulanmasından sonra, plazma-konsantrasyon eğrisinin altında kalan alan zayıf metabolize edicilerde, CYP2C19 enzimine sahip kişilerden (ekstansif metabolize ediciler) 6 kat daha büyüktür. Ortalama </w:t>
      </w:r>
      <w:r w:rsidR="00447A17" w:rsidRPr="006E16EB">
        <w:rPr>
          <w:rFonts w:ascii="Times New Roman" w:hAnsi="Times New Roman" w:cs="Times New Roman"/>
          <w:color w:val="000000" w:themeColor="text1"/>
        </w:rPr>
        <w:t>doruk</w:t>
      </w:r>
      <w:r w:rsidRPr="006E16EB">
        <w:rPr>
          <w:rFonts w:ascii="Times New Roman" w:hAnsi="Times New Roman" w:cs="Times New Roman"/>
          <w:color w:val="000000" w:themeColor="text1"/>
        </w:rPr>
        <w:t xml:space="preserve"> plazma konsantrasyonları %60 artmıştır. Bu bulgular pantoprazolün pozolojisi için bir öneri niteliğinde değildir. </w:t>
      </w:r>
    </w:p>
    <w:p w:rsidR="00447A17" w:rsidRPr="006E16EB" w:rsidRDefault="00447A17" w:rsidP="00B90DD9">
      <w:pPr>
        <w:pStyle w:val="Default"/>
        <w:tabs>
          <w:tab w:val="left" w:pos="142"/>
        </w:tabs>
        <w:jc w:val="both"/>
        <w:rPr>
          <w:rFonts w:ascii="Times New Roman" w:hAnsi="Times New Roman" w:cs="Times New Roman"/>
          <w:color w:val="000000" w:themeColor="text1"/>
          <w:u w:val="single"/>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Böbrek yetmezliği: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Böbrek fonksiyonu kısı</w:t>
      </w:r>
      <w:r w:rsidR="00F73579" w:rsidRPr="006E16EB">
        <w:rPr>
          <w:rFonts w:ascii="Times New Roman" w:hAnsi="Times New Roman" w:cs="Times New Roman"/>
          <w:color w:val="000000" w:themeColor="text1"/>
        </w:rPr>
        <w:t xml:space="preserve">tlı hastalar (diyaliz hastaları </w:t>
      </w:r>
      <w:r w:rsidRPr="006E16EB">
        <w:rPr>
          <w:rFonts w:ascii="Times New Roman" w:hAnsi="Times New Roman" w:cs="Times New Roman"/>
          <w:color w:val="000000" w:themeColor="text1"/>
        </w:rPr>
        <w:t xml:space="preserve">dahil) için doz azaltılmasına gerek yoktur. Bu hastalarda sağlıklı kişilerde olduğu gibi pantoprazol yarı ömrü kısa olup, çok küçük miktarda diyalize edilebilir. Başlıca metabolitinin yarı ömrü biraz uzamasına rağmen (2-3 saat), atılım hızlı olduğundan birikme söz konusu değildir.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Karaciğer yetmezliği: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Karaciğer sirozu olan hastalarda (Child’e göre sınıf A ve B) yarı ömrü 7-9 saat ve EAA değerleri 5-7 kat artmasına rağmen, maksimum serum konsantrasyonu sağlıklı kişilere nazaran sadece 1.5 kat artmıştır.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Pediyatrik popülasyon: </w:t>
      </w:r>
    </w:p>
    <w:p w:rsidR="00C95123" w:rsidRPr="006E16EB" w:rsidRDefault="00C95123" w:rsidP="00447A17">
      <w:pPr>
        <w:pStyle w:val="Default"/>
        <w:spacing w:line="360" w:lineRule="auto"/>
        <w:jc w:val="both"/>
        <w:rPr>
          <w:rFonts w:ascii="Times New Roman" w:eastAsiaTheme="minorHAnsi" w:hAnsi="Times New Roman" w:cs="Times New Roman"/>
          <w:lang w:eastAsia="en-US"/>
        </w:rPr>
      </w:pPr>
      <w:r w:rsidRPr="006E16EB">
        <w:rPr>
          <w:rFonts w:ascii="Times New Roman" w:hAnsi="Times New Roman" w:cs="Times New Roman"/>
          <w:color w:val="000000" w:themeColor="text1"/>
        </w:rPr>
        <w:t>20 veya 40 mg pantoprazolün 5-16 yaşlarındaki çocuklara tek doz oral olarak uygulanmasından sonra EAA ile C</w:t>
      </w:r>
      <w:r w:rsidRPr="006E16EB">
        <w:rPr>
          <w:rFonts w:ascii="Times New Roman" w:hAnsi="Times New Roman" w:cs="Times New Roman"/>
          <w:color w:val="000000" w:themeColor="text1"/>
          <w:vertAlign w:val="subscript"/>
        </w:rPr>
        <w:t>max</w:t>
      </w:r>
      <w:r w:rsidRPr="006E16EB">
        <w:rPr>
          <w:rFonts w:ascii="Times New Roman" w:hAnsi="Times New Roman" w:cs="Times New Roman"/>
          <w:color w:val="000000" w:themeColor="text1"/>
        </w:rPr>
        <w:t xml:space="preserve"> değerleri, yetişkin değerlerinin aralığındadır. </w:t>
      </w:r>
      <w:r w:rsidR="00447A17" w:rsidRPr="006E16EB">
        <w:rPr>
          <w:rFonts w:ascii="Times New Roman" w:eastAsiaTheme="minorHAnsi" w:hAnsi="Times New Roman" w:cs="Times New Roman"/>
          <w:lang w:eastAsia="en-US"/>
        </w:rPr>
        <w:t xml:space="preserve"> </w:t>
      </w:r>
      <w:r w:rsidR="00447A17" w:rsidRPr="006E16EB">
        <w:rPr>
          <w:rFonts w:ascii="Times New Roman" w:eastAsiaTheme="minorHAnsi" w:hAnsi="Times New Roman" w:cs="Times New Roman"/>
          <w:color w:val="auto"/>
          <w:lang w:eastAsia="en-US"/>
        </w:rPr>
        <w:t>0.8 veya 1.6 mg/kg pantoprazolün 2-16 yaş arasındaki çocuklara tek doz intravenöz yolla uygulanmasından sonra, pantoprazol klerensi ile yaş veya kilo arasında anlamlı bir ilişki bulunmamıştır. EAA ve dağılım hacmi, yetişkinlerden elde edilen verilerle uyumludur.</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u w:val="single"/>
        </w:rPr>
        <w:t xml:space="preserve">Geriyatrik popülasyon: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Yaşlı gönüllülerde gençlere nazaran görülen EAA ve Cmaks değerlerindeki hafif artış klinik açıdan önemli değildir. </w:t>
      </w:r>
    </w:p>
    <w:p w:rsidR="00F73579" w:rsidRPr="006E16EB" w:rsidRDefault="00F73579" w:rsidP="004372F6">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iCs/>
          <w:color w:val="000000" w:themeColor="text1"/>
        </w:rPr>
        <w:t xml:space="preserve">5.3 </w:t>
      </w:r>
      <w:r w:rsidRPr="006E16EB">
        <w:rPr>
          <w:rFonts w:ascii="Times New Roman" w:hAnsi="Times New Roman" w:cs="Times New Roman"/>
          <w:b/>
          <w:bCs/>
          <w:color w:val="000000" w:themeColor="text1"/>
        </w:rPr>
        <w:t xml:space="preserve">Klinik öncesi güvenlilik verileri </w:t>
      </w:r>
    </w:p>
    <w:p w:rsidR="00447A17"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Klasik farmakolojik güvenlik çalışmaları, tekrarlanmış dozlarda toksisite ve genotoksisite çalışmalarından elde edilen preklinik veriler insanlara özel bir tehlikenin söz konusu olmadığını göstermektedir. </w:t>
      </w:r>
    </w:p>
    <w:p w:rsidR="00447A17" w:rsidRPr="006E16EB" w:rsidRDefault="00447A17" w:rsidP="00447A17">
      <w:pPr>
        <w:autoSpaceDE w:val="0"/>
        <w:autoSpaceDN w:val="0"/>
        <w:adjustRightInd w:val="0"/>
        <w:spacing w:after="0" w:line="360" w:lineRule="auto"/>
        <w:jc w:val="both"/>
        <w:rPr>
          <w:rFonts w:ascii="Times New Roman" w:eastAsiaTheme="minorHAnsi" w:hAnsi="Times New Roman" w:cs="Times New Roman"/>
          <w:sz w:val="24"/>
          <w:szCs w:val="24"/>
          <w:lang w:eastAsia="en-US"/>
        </w:rPr>
      </w:pPr>
      <w:r w:rsidRPr="006E16EB">
        <w:rPr>
          <w:rFonts w:ascii="Times New Roman" w:eastAsiaTheme="minorHAnsi" w:hAnsi="Times New Roman" w:cs="Times New Roman"/>
          <w:sz w:val="24"/>
          <w:szCs w:val="24"/>
          <w:lang w:eastAsia="en-US"/>
        </w:rPr>
        <w:t xml:space="preserve">Sıçanlar üzerinde 2 yıl boyunca yapılan karsinojenisite testlerinde nöroendokrin neoplazmalar bulunmuştur. Ayrıca, sıçanların ön midelerinde pullu hücre papillomaları bulunmuştur. Substitüe benzimidazoller vasıtasıyla gastrik karsinoidlerin oluşumuna neden olan mekanizma dikkatlice incelenmiş ve sıçanda kronik yüksek dozlu tedavi esnasında serum gastrin seviyelerinde meydana gelen artışların sekonder bir reaksiyonu olarak görüldüğü sonucuna varılmıştır. Rodentler üzerinde yapılan iki yıllık çalışmalarda, </w:t>
      </w:r>
      <w:r w:rsidRPr="006E16EB">
        <w:rPr>
          <w:rFonts w:ascii="Times New Roman" w:eastAsiaTheme="minorHAnsi" w:hAnsi="Times New Roman" w:cs="Times New Roman"/>
          <w:sz w:val="24"/>
          <w:szCs w:val="24"/>
          <w:lang w:eastAsia="en-US"/>
        </w:rPr>
        <w:lastRenderedPageBreak/>
        <w:t xml:space="preserve">sıçanlarda ve dişi farelerde karaciğer tümörlerinin sayısında artış gözlenmiştir ve pantoprazolün, yüksek oranda karaciğerde metabolize olmasından kaynaklandığı şeklinde yorumlanmıştır. </w:t>
      </w:r>
    </w:p>
    <w:p w:rsidR="00295BE8" w:rsidRPr="006E16EB" w:rsidRDefault="00447A17" w:rsidP="00447A17">
      <w:pPr>
        <w:pStyle w:val="Default"/>
        <w:tabs>
          <w:tab w:val="left" w:pos="142"/>
        </w:tabs>
        <w:spacing w:line="360" w:lineRule="auto"/>
        <w:jc w:val="both"/>
        <w:rPr>
          <w:rFonts w:ascii="Times New Roman" w:eastAsiaTheme="minorHAnsi" w:hAnsi="Times New Roman" w:cs="Times New Roman"/>
          <w:color w:val="auto"/>
          <w:lang w:eastAsia="en-US"/>
        </w:rPr>
      </w:pPr>
      <w:r w:rsidRPr="006E16EB">
        <w:rPr>
          <w:rFonts w:ascii="Times New Roman" w:eastAsiaTheme="minorHAnsi" w:hAnsi="Times New Roman" w:cs="Times New Roman"/>
          <w:color w:val="auto"/>
          <w:lang w:eastAsia="en-US"/>
        </w:rPr>
        <w:t xml:space="preserve">En yüksek dozu (200 mg/kg) alan sıçan grubunda tiroidin neoplastik değişimlerinde hafif artış gözlenmiştir. Bu neoplazmaların meydana gelişi, sıçan karaciğerinde tiroksinin yıkımında pantoprazolün neden olduğu değişimlerle ilişkilendirilmiştir. İnsanda terapötik doz düşük olduğundan, tiroid bezlerine zararlı etki beklenmez. </w:t>
      </w:r>
    </w:p>
    <w:p w:rsidR="00C95123" w:rsidRPr="006E16EB" w:rsidRDefault="00C95123" w:rsidP="00447A17">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Hayvanlarda yapılan üreme çalışmalarında, 5 mg/kg üzerindeki dozlarda </w:t>
      </w:r>
      <w:r w:rsidR="00295BE8" w:rsidRPr="006E16EB">
        <w:rPr>
          <w:rFonts w:ascii="Times New Roman" w:hAnsi="Times New Roman" w:cs="Times New Roman"/>
          <w:color w:val="000000" w:themeColor="text1"/>
        </w:rPr>
        <w:t>hafif</w:t>
      </w:r>
      <w:r w:rsidRPr="006E16EB">
        <w:rPr>
          <w:rFonts w:ascii="Times New Roman" w:hAnsi="Times New Roman" w:cs="Times New Roman"/>
          <w:color w:val="000000" w:themeColor="text1"/>
        </w:rPr>
        <w:t xml:space="preserve"> düzeyde fetotoksisite görülmüştür.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Yapılan araştırmalarda fertilitenin bozulmasına veya teratojen etkiye ilişkin herhangi bir kanıt bulunmamıştır.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Sıçanda plasentaya geçiş araştırılmış ve gebeliğin ilerlemesiyle arttığı bulunmuştur. Sonuç olarak fetüs pantoprazol konsantrasyonu doğumdan kısa süre önce artar. </w:t>
      </w:r>
    </w:p>
    <w:p w:rsidR="008269AF" w:rsidRPr="006E16EB" w:rsidRDefault="008269AF" w:rsidP="004372F6">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6. FARMASÖT</w:t>
      </w:r>
      <w:r w:rsidR="00F73579" w:rsidRPr="006E16EB">
        <w:rPr>
          <w:rFonts w:ascii="Times New Roman" w:hAnsi="Times New Roman" w:cs="Times New Roman"/>
          <w:b/>
          <w:bCs/>
          <w:color w:val="000000" w:themeColor="text1"/>
        </w:rPr>
        <w:t>İ</w:t>
      </w:r>
      <w:r w:rsidRPr="006E16EB">
        <w:rPr>
          <w:rFonts w:ascii="Times New Roman" w:hAnsi="Times New Roman" w:cs="Times New Roman"/>
          <w:b/>
          <w:bCs/>
          <w:color w:val="000000" w:themeColor="text1"/>
        </w:rPr>
        <w:t>K ÖZELL</w:t>
      </w:r>
      <w:r w:rsidR="00F73579" w:rsidRPr="006E16EB">
        <w:rPr>
          <w:rFonts w:ascii="Times New Roman" w:hAnsi="Times New Roman" w:cs="Times New Roman"/>
          <w:b/>
          <w:bCs/>
          <w:color w:val="000000" w:themeColor="text1"/>
        </w:rPr>
        <w:t>İ</w:t>
      </w:r>
      <w:r w:rsidRPr="006E16EB">
        <w:rPr>
          <w:rFonts w:ascii="Times New Roman" w:hAnsi="Times New Roman" w:cs="Times New Roman"/>
          <w:b/>
          <w:bCs/>
          <w:color w:val="000000" w:themeColor="text1"/>
        </w:rPr>
        <w:t xml:space="preserve">KLER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iCs/>
          <w:color w:val="000000" w:themeColor="text1"/>
        </w:rPr>
        <w:t xml:space="preserve">6.1 </w:t>
      </w:r>
      <w:r w:rsidRPr="006E16EB">
        <w:rPr>
          <w:rFonts w:ascii="Times New Roman" w:hAnsi="Times New Roman" w:cs="Times New Roman"/>
          <w:b/>
          <w:bCs/>
          <w:color w:val="000000" w:themeColor="text1"/>
        </w:rPr>
        <w:t xml:space="preserve">Yardımcı maddelerin listesi </w:t>
      </w:r>
    </w:p>
    <w:p w:rsidR="00C54087"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Sodyum karbonat </w:t>
      </w:r>
      <w:r w:rsidR="00C54087" w:rsidRPr="006E16EB">
        <w:rPr>
          <w:rFonts w:ascii="Times New Roman" w:hAnsi="Times New Roman" w:cs="Times New Roman"/>
          <w:color w:val="000000" w:themeColor="text1"/>
        </w:rPr>
        <w:t>anhidroz</w:t>
      </w:r>
    </w:p>
    <w:p w:rsidR="00C54087"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Mannitol </w:t>
      </w:r>
    </w:p>
    <w:p w:rsidR="00C54087"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Krospovidon </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Sodyum lauril sülfat</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Polivinilpirolidon </w:t>
      </w:r>
      <w:r w:rsidR="00C95123" w:rsidRPr="006E16EB">
        <w:rPr>
          <w:rFonts w:ascii="Times New Roman" w:hAnsi="Times New Roman" w:cs="Times New Roman"/>
          <w:color w:val="000000" w:themeColor="text1"/>
        </w:rPr>
        <w:t xml:space="preserve">K90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Kalsiyum stearat </w:t>
      </w:r>
    </w:p>
    <w:p w:rsidR="00C54087" w:rsidRPr="006E16EB" w:rsidRDefault="00C54087" w:rsidP="004372F6">
      <w:pPr>
        <w:pStyle w:val="Default"/>
        <w:tabs>
          <w:tab w:val="left" w:pos="142"/>
        </w:tabs>
        <w:jc w:val="both"/>
        <w:rPr>
          <w:rFonts w:ascii="Times New Roman" w:hAnsi="Times New Roman" w:cs="Times New Roman"/>
          <w:color w:val="000000" w:themeColor="text1"/>
        </w:rPr>
      </w:pPr>
    </w:p>
    <w:p w:rsidR="00C95123" w:rsidRPr="006E16EB" w:rsidRDefault="000E7D31" w:rsidP="00FA660C">
      <w:pPr>
        <w:pStyle w:val="Default"/>
        <w:tabs>
          <w:tab w:val="left" w:pos="142"/>
        </w:tabs>
        <w:spacing w:line="360" w:lineRule="auto"/>
        <w:jc w:val="both"/>
        <w:rPr>
          <w:rFonts w:ascii="Times New Roman" w:hAnsi="Times New Roman" w:cs="Times New Roman"/>
          <w:iCs/>
          <w:color w:val="000000" w:themeColor="text1"/>
          <w:u w:val="single"/>
        </w:rPr>
      </w:pPr>
      <w:r w:rsidRPr="006E16EB">
        <w:rPr>
          <w:rFonts w:ascii="Times New Roman" w:hAnsi="Times New Roman" w:cs="Times New Roman"/>
          <w:iCs/>
          <w:color w:val="000000" w:themeColor="text1"/>
          <w:u w:val="single"/>
        </w:rPr>
        <w:t>Ara film k</w:t>
      </w:r>
      <w:r w:rsidR="006E16EB" w:rsidRPr="006E16EB">
        <w:rPr>
          <w:rFonts w:ascii="Times New Roman" w:hAnsi="Times New Roman" w:cs="Times New Roman"/>
          <w:iCs/>
          <w:color w:val="000000" w:themeColor="text1"/>
          <w:u w:val="single"/>
        </w:rPr>
        <w:t>aplama maddesi: Opadry II HP 85F22138 yellow</w:t>
      </w:r>
    </w:p>
    <w:p w:rsidR="00C54087" w:rsidRPr="006E16EB" w:rsidRDefault="00C54087" w:rsidP="00FA660C">
      <w:pPr>
        <w:pStyle w:val="Default"/>
        <w:tabs>
          <w:tab w:val="left" w:pos="142"/>
        </w:tabs>
        <w:spacing w:line="360" w:lineRule="auto"/>
        <w:jc w:val="both"/>
        <w:rPr>
          <w:rFonts w:ascii="Times New Roman" w:hAnsi="Times New Roman" w:cs="Times New Roman"/>
          <w:iCs/>
          <w:color w:val="000000" w:themeColor="text1"/>
        </w:rPr>
      </w:pPr>
      <w:r w:rsidRPr="006E16EB">
        <w:rPr>
          <w:rFonts w:ascii="Times New Roman" w:hAnsi="Times New Roman" w:cs="Times New Roman"/>
          <w:iCs/>
          <w:color w:val="000000" w:themeColor="text1"/>
        </w:rPr>
        <w:t>Polivinil Alkol</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bookmarkStart w:id="0" w:name="OLE_LINK1"/>
      <w:bookmarkStart w:id="1" w:name="OLE_LINK2"/>
      <w:r w:rsidRPr="006E16EB">
        <w:rPr>
          <w:rFonts w:ascii="Times New Roman" w:hAnsi="Times New Roman" w:cs="Times New Roman"/>
          <w:color w:val="000000" w:themeColor="text1"/>
        </w:rPr>
        <w:t>Titanyum dioksit</w:t>
      </w:r>
    </w:p>
    <w:bookmarkEnd w:id="0"/>
    <w:bookmarkEnd w:id="1"/>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Makrogol/PEG 3350</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Talk</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Sarı demir oksit</w:t>
      </w:r>
    </w:p>
    <w:p w:rsidR="000E7D31" w:rsidRPr="006E16EB" w:rsidRDefault="000E7D31" w:rsidP="004372F6">
      <w:pPr>
        <w:pStyle w:val="Default"/>
        <w:tabs>
          <w:tab w:val="left" w:pos="142"/>
        </w:tabs>
        <w:jc w:val="both"/>
        <w:rPr>
          <w:rFonts w:ascii="Times New Roman" w:hAnsi="Times New Roman" w:cs="Times New Roman"/>
          <w:color w:val="000000" w:themeColor="text1"/>
        </w:rPr>
      </w:pPr>
    </w:p>
    <w:p w:rsidR="000E7D31" w:rsidRPr="006E16EB" w:rsidRDefault="000E7D31" w:rsidP="00FA660C">
      <w:pPr>
        <w:pStyle w:val="Default"/>
        <w:tabs>
          <w:tab w:val="left" w:pos="142"/>
        </w:tabs>
        <w:spacing w:line="360" w:lineRule="auto"/>
        <w:jc w:val="both"/>
        <w:rPr>
          <w:rFonts w:ascii="Times New Roman" w:hAnsi="Times New Roman" w:cs="Times New Roman"/>
          <w:color w:val="000000" w:themeColor="text1"/>
          <w:u w:val="single"/>
        </w:rPr>
      </w:pPr>
      <w:r w:rsidRPr="006E16EB">
        <w:rPr>
          <w:rFonts w:ascii="Times New Roman" w:hAnsi="Times New Roman" w:cs="Times New Roman"/>
          <w:color w:val="000000" w:themeColor="text1"/>
          <w:u w:val="single"/>
        </w:rPr>
        <w:t>Enterik film kaplama:</w:t>
      </w:r>
    </w:p>
    <w:p w:rsidR="000E7D31" w:rsidRPr="006E16EB" w:rsidRDefault="000E7D31"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Talk</w:t>
      </w:r>
    </w:p>
    <w:p w:rsidR="000E7D31" w:rsidRPr="006E16EB" w:rsidRDefault="000E7D31"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Titanyum dioksit</w:t>
      </w:r>
    </w:p>
    <w:p w:rsidR="00C54087" w:rsidRPr="006E16EB" w:rsidRDefault="00C54087"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Simethicone Q7-2587</w:t>
      </w:r>
    </w:p>
    <w:p w:rsidR="000E7D31" w:rsidRDefault="000E7D31" w:rsidP="004372F6">
      <w:pPr>
        <w:pStyle w:val="Default"/>
        <w:tabs>
          <w:tab w:val="left" w:pos="142"/>
        </w:tabs>
        <w:jc w:val="both"/>
        <w:rPr>
          <w:rFonts w:ascii="Times New Roman" w:hAnsi="Times New Roman" w:cs="Times New Roman"/>
          <w:color w:val="000000" w:themeColor="text1"/>
        </w:rPr>
      </w:pPr>
    </w:p>
    <w:p w:rsidR="00B90DD9" w:rsidRPr="006E16EB" w:rsidRDefault="00B90DD9" w:rsidP="004372F6">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lastRenderedPageBreak/>
        <w:t xml:space="preserve">6.2 Geçimsizlikler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Bilinen bir geçimsizliği bulunmamaktadır. </w:t>
      </w:r>
    </w:p>
    <w:p w:rsidR="00C54087" w:rsidRPr="006E16EB" w:rsidRDefault="00C54087" w:rsidP="004372F6">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6.3 Raf ömrü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36 ay </w:t>
      </w:r>
    </w:p>
    <w:p w:rsidR="00C54087" w:rsidRPr="006E16EB" w:rsidRDefault="00C54087" w:rsidP="004372F6">
      <w:pPr>
        <w:pStyle w:val="Default"/>
        <w:tabs>
          <w:tab w:val="left" w:pos="142"/>
        </w:tabs>
        <w:jc w:val="both"/>
        <w:rPr>
          <w:rFonts w:ascii="Times New Roman" w:hAnsi="Times New Roman" w:cs="Times New Roman"/>
          <w:color w:val="FF0000"/>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 xml:space="preserve">6.4 Saklamaya yönelik özel uyarılar </w:t>
      </w:r>
    </w:p>
    <w:p w:rsidR="00C54087" w:rsidRPr="006E16EB" w:rsidRDefault="00C54087" w:rsidP="00FA660C">
      <w:pPr>
        <w:shd w:val="clear" w:color="auto" w:fill="FFFFFF"/>
        <w:spacing w:after="0" w:line="360" w:lineRule="auto"/>
        <w:ind w:right="-31"/>
        <w:jc w:val="both"/>
        <w:rPr>
          <w:rFonts w:ascii="Times New Roman" w:hAnsi="Times New Roman" w:cs="Times New Roman"/>
          <w:color w:val="000000" w:themeColor="text1"/>
          <w:sz w:val="24"/>
          <w:szCs w:val="24"/>
        </w:rPr>
      </w:pPr>
      <w:r w:rsidRPr="006E16EB">
        <w:rPr>
          <w:rFonts w:ascii="Times New Roman" w:hAnsi="Times New Roman" w:cs="Times New Roman"/>
          <w:color w:val="000000" w:themeColor="text1"/>
          <w:sz w:val="24"/>
          <w:szCs w:val="24"/>
        </w:rPr>
        <w:t>25 °C'nin altındaki oda sıcaklığında saklayınız.</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6.5 Ambalajın niteli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i ve içeri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i </w:t>
      </w:r>
    </w:p>
    <w:p w:rsidR="00C54087" w:rsidRPr="006E16EB" w:rsidRDefault="00C54087" w:rsidP="00FA660C">
      <w:pPr>
        <w:shd w:val="clear" w:color="auto" w:fill="FFFFFF"/>
        <w:spacing w:after="0" w:line="360" w:lineRule="auto"/>
        <w:ind w:right="-31"/>
        <w:jc w:val="both"/>
        <w:rPr>
          <w:rFonts w:ascii="Times New Roman" w:hAnsi="Times New Roman" w:cs="Times New Roman"/>
          <w:color w:val="000000" w:themeColor="text1"/>
          <w:sz w:val="24"/>
          <w:szCs w:val="24"/>
        </w:rPr>
      </w:pPr>
      <w:r w:rsidRPr="006E16EB">
        <w:rPr>
          <w:rFonts w:ascii="Times New Roman" w:hAnsi="Times New Roman" w:cs="Times New Roman"/>
          <w:color w:val="000000" w:themeColor="text1"/>
          <w:sz w:val="24"/>
          <w:szCs w:val="24"/>
        </w:rPr>
        <w:t>Alu-Alu Blister</w:t>
      </w:r>
    </w:p>
    <w:p w:rsidR="00C54087" w:rsidRPr="006E16EB" w:rsidRDefault="00C54087" w:rsidP="00FA660C">
      <w:pPr>
        <w:shd w:val="clear" w:color="auto" w:fill="FFFFFF"/>
        <w:spacing w:after="0" w:line="360" w:lineRule="auto"/>
        <w:ind w:right="-31"/>
        <w:jc w:val="both"/>
        <w:rPr>
          <w:rFonts w:ascii="Times New Roman" w:hAnsi="Times New Roman" w:cs="Times New Roman"/>
          <w:color w:val="000000" w:themeColor="text1"/>
          <w:sz w:val="24"/>
          <w:szCs w:val="24"/>
        </w:rPr>
      </w:pPr>
      <w:r w:rsidRPr="006E16EB">
        <w:rPr>
          <w:rFonts w:ascii="Times New Roman" w:hAnsi="Times New Roman" w:cs="Times New Roman"/>
          <w:color w:val="000000" w:themeColor="text1"/>
          <w:sz w:val="24"/>
          <w:szCs w:val="24"/>
        </w:rPr>
        <w:t>Her karton kutu 14 veya 28 enterik kaplı tablet içermektedir.</w:t>
      </w:r>
    </w:p>
    <w:p w:rsidR="00C54087" w:rsidRPr="006E16EB" w:rsidRDefault="00C54087" w:rsidP="004372F6">
      <w:pPr>
        <w:pStyle w:val="Default"/>
        <w:tabs>
          <w:tab w:val="left" w:pos="142"/>
        </w:tabs>
        <w:jc w:val="both"/>
        <w:rPr>
          <w:rFonts w:ascii="Times New Roman" w:hAnsi="Times New Roman" w:cs="Times New Roman"/>
          <w:color w:val="000000" w:themeColor="text1"/>
        </w:rPr>
      </w:pP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b/>
          <w:bCs/>
          <w:color w:val="000000" w:themeColor="text1"/>
        </w:rPr>
        <w:t>6.6 Be</w:t>
      </w:r>
      <w:r w:rsidRPr="006E16EB">
        <w:rPr>
          <w:rFonts w:ascii="Times New Roman" w:hAnsi="Times New Roman" w:cs="Times New Roman"/>
          <w:color w:val="000000" w:themeColor="text1"/>
        </w:rPr>
        <w:t>ş</w:t>
      </w:r>
      <w:r w:rsidRPr="006E16EB">
        <w:rPr>
          <w:rFonts w:ascii="Times New Roman" w:hAnsi="Times New Roman" w:cs="Times New Roman"/>
          <w:b/>
          <w:bCs/>
          <w:color w:val="000000" w:themeColor="text1"/>
        </w:rPr>
        <w:t>eri tıbbi üründen arta kalan maddelerin imhası ve di</w:t>
      </w:r>
      <w:r w:rsidRPr="006E16EB">
        <w:rPr>
          <w:rFonts w:ascii="Times New Roman" w:hAnsi="Times New Roman" w:cs="Times New Roman"/>
          <w:color w:val="000000" w:themeColor="text1"/>
        </w:rPr>
        <w:t>ğ</w:t>
      </w:r>
      <w:r w:rsidRPr="006E16EB">
        <w:rPr>
          <w:rFonts w:ascii="Times New Roman" w:hAnsi="Times New Roman" w:cs="Times New Roman"/>
          <w:b/>
          <w:bCs/>
          <w:color w:val="000000" w:themeColor="text1"/>
        </w:rPr>
        <w:t xml:space="preserve">er özel önlemler </w:t>
      </w:r>
    </w:p>
    <w:p w:rsidR="00C95123" w:rsidRPr="006E16EB" w:rsidRDefault="00C95123" w:rsidP="00FA660C">
      <w:pPr>
        <w:pStyle w:val="Default"/>
        <w:tabs>
          <w:tab w:val="left" w:pos="142"/>
        </w:tabs>
        <w:spacing w:line="360" w:lineRule="auto"/>
        <w:jc w:val="both"/>
        <w:rPr>
          <w:rFonts w:ascii="Times New Roman" w:hAnsi="Times New Roman" w:cs="Times New Roman"/>
          <w:color w:val="000000" w:themeColor="text1"/>
        </w:rPr>
      </w:pPr>
      <w:r w:rsidRPr="006E16EB">
        <w:rPr>
          <w:rFonts w:ascii="Times New Roman" w:hAnsi="Times New Roman" w:cs="Times New Roman"/>
          <w:color w:val="000000" w:themeColor="text1"/>
        </w:rPr>
        <w:t xml:space="preserve">Kullanılmamış olan ürünler ya da atık materyaller, “Tıbbi Atıkların Kontrolü Yönetmeliği” ve “Ambalaj ve Ambalaj Atıklarının Kontrolü Yönetmeliği”ne uygun olarak imha edilmelidir. </w:t>
      </w:r>
    </w:p>
    <w:p w:rsidR="00C54087" w:rsidRPr="006E16EB" w:rsidRDefault="00C54087" w:rsidP="004372F6">
      <w:pPr>
        <w:pStyle w:val="Default"/>
        <w:tabs>
          <w:tab w:val="left" w:pos="142"/>
          <w:tab w:val="left" w:pos="284"/>
        </w:tabs>
        <w:jc w:val="both"/>
        <w:rPr>
          <w:rFonts w:ascii="Times New Roman" w:hAnsi="Times New Roman" w:cs="Times New Roman"/>
          <w:color w:val="FF0000"/>
        </w:rPr>
      </w:pP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7.</w:t>
      </w:r>
      <w:r w:rsidRPr="006E16EB">
        <w:rPr>
          <w:rFonts w:ascii="Times New Roman" w:hAnsi="Times New Roman" w:cs="Times New Roman"/>
          <w:b/>
          <w:color w:val="000000"/>
          <w:sz w:val="24"/>
          <w:szCs w:val="24"/>
        </w:rPr>
        <w:tab/>
        <w:t>RUHSAT SAHİBİ</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bookmarkStart w:id="2" w:name="OLE_LINK13"/>
      <w:bookmarkStart w:id="3" w:name="OLE_LINK14"/>
      <w:r w:rsidRPr="006E16EB">
        <w:rPr>
          <w:rFonts w:ascii="Times New Roman" w:hAnsi="Times New Roman" w:cs="Times New Roman"/>
          <w:color w:val="000000"/>
          <w:sz w:val="24"/>
          <w:szCs w:val="24"/>
        </w:rPr>
        <w:t>Deva Holding A.Ş.</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Halkalı Merkez Mah. Basın Ekspres Cad.</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No:1 34303 Küçükçekmece-İstanbul</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 xml:space="preserve">Tel: 0212 692 92 92 </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Faks: 0212 697 00 24</w:t>
      </w:r>
      <w:bookmarkEnd w:id="2"/>
      <w:bookmarkEnd w:id="3"/>
    </w:p>
    <w:p w:rsidR="007123EC" w:rsidRPr="006E16EB" w:rsidRDefault="007123EC" w:rsidP="004372F6">
      <w:pPr>
        <w:shd w:val="clear" w:color="auto" w:fill="FFFFFF"/>
        <w:tabs>
          <w:tab w:val="left" w:pos="284"/>
        </w:tabs>
        <w:spacing w:after="0" w:line="240" w:lineRule="auto"/>
        <w:ind w:right="-28"/>
        <w:jc w:val="both"/>
        <w:rPr>
          <w:rFonts w:ascii="Times New Roman" w:hAnsi="Times New Roman" w:cs="Times New Roman"/>
          <w:color w:val="000000"/>
          <w:sz w:val="24"/>
          <w:szCs w:val="24"/>
        </w:rPr>
      </w:pP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8.</w:t>
      </w:r>
      <w:r w:rsidRPr="006E16EB">
        <w:rPr>
          <w:rFonts w:ascii="Times New Roman" w:hAnsi="Times New Roman" w:cs="Times New Roman"/>
          <w:b/>
          <w:color w:val="000000"/>
          <w:sz w:val="24"/>
          <w:szCs w:val="24"/>
        </w:rPr>
        <w:tab/>
        <w:t>RUHSAT NUMARASI</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209/</w:t>
      </w:r>
      <w:r w:rsidR="007E4AE0">
        <w:rPr>
          <w:rFonts w:ascii="Times New Roman" w:hAnsi="Times New Roman" w:cs="Times New Roman"/>
          <w:color w:val="000000"/>
          <w:sz w:val="24"/>
          <w:szCs w:val="24"/>
        </w:rPr>
        <w:t>98</w:t>
      </w:r>
    </w:p>
    <w:p w:rsidR="00295BE8" w:rsidRPr="006E16EB" w:rsidRDefault="00295BE8" w:rsidP="004372F6">
      <w:pPr>
        <w:shd w:val="clear" w:color="auto" w:fill="FFFFFF"/>
        <w:tabs>
          <w:tab w:val="left" w:pos="284"/>
        </w:tabs>
        <w:spacing w:after="0" w:line="240" w:lineRule="auto"/>
        <w:ind w:right="-28"/>
        <w:jc w:val="both"/>
        <w:rPr>
          <w:rFonts w:ascii="Times New Roman" w:hAnsi="Times New Roman" w:cs="Times New Roman"/>
          <w:color w:val="000000"/>
          <w:sz w:val="24"/>
          <w:szCs w:val="24"/>
        </w:rPr>
      </w:pP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9.</w:t>
      </w:r>
      <w:r w:rsidRPr="006E16EB">
        <w:rPr>
          <w:rFonts w:ascii="Times New Roman" w:hAnsi="Times New Roman" w:cs="Times New Roman"/>
          <w:b/>
          <w:color w:val="000000"/>
          <w:sz w:val="24"/>
          <w:szCs w:val="24"/>
        </w:rPr>
        <w:tab/>
        <w:t>İLK RUHSAT TARİHİ/RUHSAT YENİLEME TARİHİ</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İlk ruhsat tarihi: 24.11.2006</w:t>
      </w: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color w:val="000000"/>
          <w:sz w:val="24"/>
          <w:szCs w:val="24"/>
        </w:rPr>
      </w:pPr>
      <w:r w:rsidRPr="006E16EB">
        <w:rPr>
          <w:rFonts w:ascii="Times New Roman" w:hAnsi="Times New Roman" w:cs="Times New Roman"/>
          <w:color w:val="000000"/>
          <w:sz w:val="24"/>
          <w:szCs w:val="24"/>
        </w:rPr>
        <w:t>Ruhsat yenileme tarihi: 24.11.2011</w:t>
      </w:r>
    </w:p>
    <w:p w:rsidR="007123EC" w:rsidRPr="006E16EB" w:rsidRDefault="007123EC" w:rsidP="004372F6">
      <w:pPr>
        <w:shd w:val="clear" w:color="auto" w:fill="FFFFFF"/>
        <w:tabs>
          <w:tab w:val="left" w:pos="284"/>
        </w:tabs>
        <w:spacing w:after="0" w:line="240" w:lineRule="auto"/>
        <w:ind w:right="-28"/>
        <w:jc w:val="both"/>
        <w:rPr>
          <w:rFonts w:ascii="Times New Roman" w:hAnsi="Times New Roman" w:cs="Times New Roman"/>
          <w:color w:val="000000"/>
          <w:sz w:val="24"/>
          <w:szCs w:val="24"/>
          <w:highlight w:val="yellow"/>
        </w:rPr>
      </w:pPr>
    </w:p>
    <w:p w:rsidR="007123EC" w:rsidRPr="006E16EB" w:rsidRDefault="007123EC" w:rsidP="00FA660C">
      <w:pPr>
        <w:shd w:val="clear" w:color="auto" w:fill="FFFFFF"/>
        <w:tabs>
          <w:tab w:val="left" w:pos="284"/>
        </w:tabs>
        <w:spacing w:after="0" w:line="360" w:lineRule="auto"/>
        <w:ind w:right="-31"/>
        <w:jc w:val="both"/>
        <w:rPr>
          <w:rFonts w:ascii="Times New Roman" w:hAnsi="Times New Roman" w:cs="Times New Roman"/>
          <w:b/>
          <w:color w:val="000000"/>
          <w:sz w:val="24"/>
          <w:szCs w:val="24"/>
        </w:rPr>
      </w:pPr>
      <w:r w:rsidRPr="006E16EB">
        <w:rPr>
          <w:rFonts w:ascii="Times New Roman" w:hAnsi="Times New Roman" w:cs="Times New Roman"/>
          <w:b/>
          <w:color w:val="000000"/>
          <w:sz w:val="24"/>
          <w:szCs w:val="24"/>
        </w:rPr>
        <w:t>10.</w:t>
      </w:r>
      <w:r w:rsidRPr="006E16EB">
        <w:rPr>
          <w:rFonts w:ascii="Times New Roman" w:hAnsi="Times New Roman" w:cs="Times New Roman"/>
          <w:b/>
          <w:color w:val="000000"/>
          <w:sz w:val="24"/>
          <w:szCs w:val="24"/>
        </w:rPr>
        <w:tab/>
        <w:t xml:space="preserve"> KÜB'ÜN YENİLENME TARİHİ</w:t>
      </w:r>
    </w:p>
    <w:p w:rsidR="00C95123" w:rsidRPr="006E16EB" w:rsidRDefault="00C95123" w:rsidP="00FA660C">
      <w:pPr>
        <w:pStyle w:val="Default"/>
        <w:tabs>
          <w:tab w:val="left" w:pos="142"/>
        </w:tabs>
        <w:spacing w:line="360" w:lineRule="auto"/>
        <w:jc w:val="both"/>
        <w:rPr>
          <w:rFonts w:ascii="Times New Roman" w:hAnsi="Times New Roman" w:cs="Times New Roman"/>
          <w:color w:val="FF0000"/>
        </w:rPr>
      </w:pPr>
    </w:p>
    <w:sectPr w:rsidR="00C95123" w:rsidRPr="006E16EB" w:rsidSect="00C95123">
      <w:footerReference w:type="default" r:id="rId8"/>
      <w:pgSz w:w="11907" w:h="16840" w:code="9"/>
      <w:pgMar w:top="1157" w:right="1230" w:bottom="249" w:left="1729"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34D" w:rsidRPr="00C95123" w:rsidRDefault="00A0634D" w:rsidP="00C95123">
      <w:pPr>
        <w:spacing w:after="0" w:line="240" w:lineRule="auto"/>
      </w:pPr>
      <w:r>
        <w:separator/>
      </w:r>
    </w:p>
  </w:endnote>
  <w:endnote w:type="continuationSeparator" w:id="0">
    <w:p w:rsidR="00A0634D" w:rsidRPr="00C95123" w:rsidRDefault="00A0634D" w:rsidP="00C951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imes">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5501"/>
      <w:docPartObj>
        <w:docPartGallery w:val="Page Numbers (Bottom of Page)"/>
        <w:docPartUnique/>
      </w:docPartObj>
    </w:sdtPr>
    <w:sdtContent>
      <w:sdt>
        <w:sdtPr>
          <w:id w:val="861459903"/>
          <w:docPartObj>
            <w:docPartGallery w:val="Page Numbers (Top of Page)"/>
            <w:docPartUnique/>
          </w:docPartObj>
        </w:sdtPr>
        <w:sdtContent>
          <w:p w:rsidR="004372F6" w:rsidRDefault="004372F6">
            <w:pPr>
              <w:pStyle w:val="Altbilgi"/>
              <w:jc w:val="right"/>
            </w:pPr>
            <w:r w:rsidRPr="004372F6">
              <w:t xml:space="preserve">Sayfa </w:t>
            </w:r>
            <w:fldSimple w:instr="PAGE">
              <w:r w:rsidR="006F2000">
                <w:rPr>
                  <w:noProof/>
                </w:rPr>
                <w:t>15</w:t>
              </w:r>
            </w:fldSimple>
            <w:r w:rsidRPr="004372F6">
              <w:t xml:space="preserve"> / </w:t>
            </w:r>
            <w:fldSimple w:instr="NUMPAGES">
              <w:r w:rsidR="006F2000">
                <w:rPr>
                  <w:noProof/>
                </w:rPr>
                <w:t>15</w:t>
              </w:r>
            </w:fldSimple>
          </w:p>
        </w:sdtContent>
      </w:sdt>
    </w:sdtContent>
  </w:sdt>
  <w:p w:rsidR="006E16EB" w:rsidRDefault="006E16E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34D" w:rsidRPr="00C95123" w:rsidRDefault="00A0634D" w:rsidP="00C95123">
      <w:pPr>
        <w:spacing w:after="0" w:line="240" w:lineRule="auto"/>
      </w:pPr>
      <w:r>
        <w:separator/>
      </w:r>
    </w:p>
  </w:footnote>
  <w:footnote w:type="continuationSeparator" w:id="0">
    <w:p w:rsidR="00A0634D" w:rsidRPr="00C95123" w:rsidRDefault="00A0634D" w:rsidP="00C951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51739B"/>
    <w:multiLevelType w:val="hybridMultilevel"/>
    <w:tmpl w:val="1EA3B6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21215A6"/>
    <w:multiLevelType w:val="hybridMultilevel"/>
    <w:tmpl w:val="475A06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C738C6"/>
    <w:multiLevelType w:val="hybridMultilevel"/>
    <w:tmpl w:val="D5BC24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DACC2B4"/>
    <w:multiLevelType w:val="hybridMultilevel"/>
    <w:tmpl w:val="D8C6B7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885611"/>
    <w:rsid w:val="000440BA"/>
    <w:rsid w:val="0007203B"/>
    <w:rsid w:val="000B04CD"/>
    <w:rsid w:val="000B571A"/>
    <w:rsid w:val="000B7B24"/>
    <w:rsid w:val="000D6C39"/>
    <w:rsid w:val="000E7D31"/>
    <w:rsid w:val="00101188"/>
    <w:rsid w:val="00101A27"/>
    <w:rsid w:val="001224AA"/>
    <w:rsid w:val="001254CC"/>
    <w:rsid w:val="00141FF1"/>
    <w:rsid w:val="001820F9"/>
    <w:rsid w:val="001A25EF"/>
    <w:rsid w:val="001B0ACA"/>
    <w:rsid w:val="001B2ACA"/>
    <w:rsid w:val="00235284"/>
    <w:rsid w:val="00295BE8"/>
    <w:rsid w:val="002B3EB8"/>
    <w:rsid w:val="002F542A"/>
    <w:rsid w:val="003C4905"/>
    <w:rsid w:val="003C62A4"/>
    <w:rsid w:val="004372F6"/>
    <w:rsid w:val="00447A17"/>
    <w:rsid w:val="00452DD3"/>
    <w:rsid w:val="0047337F"/>
    <w:rsid w:val="00483A55"/>
    <w:rsid w:val="004B1856"/>
    <w:rsid w:val="005D0E0C"/>
    <w:rsid w:val="006624E2"/>
    <w:rsid w:val="006774FC"/>
    <w:rsid w:val="006828CA"/>
    <w:rsid w:val="006B2F02"/>
    <w:rsid w:val="006E16EB"/>
    <w:rsid w:val="006F2000"/>
    <w:rsid w:val="007123EC"/>
    <w:rsid w:val="00765413"/>
    <w:rsid w:val="007E4AE0"/>
    <w:rsid w:val="008063F3"/>
    <w:rsid w:val="00812F06"/>
    <w:rsid w:val="00821478"/>
    <w:rsid w:val="008269AF"/>
    <w:rsid w:val="00830018"/>
    <w:rsid w:val="008557C9"/>
    <w:rsid w:val="0087081F"/>
    <w:rsid w:val="00885611"/>
    <w:rsid w:val="008E2C88"/>
    <w:rsid w:val="008F33FE"/>
    <w:rsid w:val="00917221"/>
    <w:rsid w:val="009C5F56"/>
    <w:rsid w:val="009D08E5"/>
    <w:rsid w:val="009E44F1"/>
    <w:rsid w:val="00A03712"/>
    <w:rsid w:val="00A0634D"/>
    <w:rsid w:val="00A13E54"/>
    <w:rsid w:val="00A25FB6"/>
    <w:rsid w:val="00A47070"/>
    <w:rsid w:val="00A53148"/>
    <w:rsid w:val="00A744E6"/>
    <w:rsid w:val="00B1130E"/>
    <w:rsid w:val="00B362F1"/>
    <w:rsid w:val="00B47873"/>
    <w:rsid w:val="00B53253"/>
    <w:rsid w:val="00B74452"/>
    <w:rsid w:val="00B90DD9"/>
    <w:rsid w:val="00C33E2B"/>
    <w:rsid w:val="00C54087"/>
    <w:rsid w:val="00C95123"/>
    <w:rsid w:val="00D241DF"/>
    <w:rsid w:val="00D56E64"/>
    <w:rsid w:val="00D82067"/>
    <w:rsid w:val="00DD6E97"/>
    <w:rsid w:val="00E415CB"/>
    <w:rsid w:val="00E74F97"/>
    <w:rsid w:val="00EB2BF1"/>
    <w:rsid w:val="00EB6452"/>
    <w:rsid w:val="00EC267D"/>
    <w:rsid w:val="00EC507A"/>
    <w:rsid w:val="00EE2840"/>
    <w:rsid w:val="00F02874"/>
    <w:rsid w:val="00F332C8"/>
    <w:rsid w:val="00F4031F"/>
    <w:rsid w:val="00F50E1C"/>
    <w:rsid w:val="00F627A7"/>
    <w:rsid w:val="00F65867"/>
    <w:rsid w:val="00F73579"/>
    <w:rsid w:val="00F950C0"/>
    <w:rsid w:val="00FA3526"/>
    <w:rsid w:val="00FA660C"/>
    <w:rsid w:val="00FB1A96"/>
    <w:rsid w:val="00FC2C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1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85611"/>
    <w:pPr>
      <w:widowControl w:val="0"/>
      <w:autoSpaceDE w:val="0"/>
      <w:autoSpaceDN w:val="0"/>
      <w:adjustRightInd w:val="0"/>
      <w:spacing w:after="0" w:line="240" w:lineRule="auto"/>
    </w:pPr>
    <w:rPr>
      <w:rFonts w:ascii="Times" w:eastAsiaTheme="minorEastAsia" w:hAnsi="Times" w:cs="Times"/>
      <w:color w:val="000000"/>
      <w:sz w:val="24"/>
      <w:szCs w:val="24"/>
      <w:lang w:eastAsia="tr-TR"/>
    </w:rPr>
  </w:style>
  <w:style w:type="paragraph" w:customStyle="1" w:styleId="CM18">
    <w:name w:val="CM18"/>
    <w:basedOn w:val="Default"/>
    <w:next w:val="Default"/>
    <w:uiPriority w:val="99"/>
    <w:rsid w:val="00885611"/>
    <w:rPr>
      <w:color w:val="auto"/>
    </w:rPr>
  </w:style>
  <w:style w:type="paragraph" w:customStyle="1" w:styleId="CM1">
    <w:name w:val="CM1"/>
    <w:basedOn w:val="Default"/>
    <w:next w:val="Default"/>
    <w:uiPriority w:val="99"/>
    <w:rsid w:val="00885611"/>
    <w:pPr>
      <w:spacing w:line="373" w:lineRule="atLeast"/>
    </w:pPr>
    <w:rPr>
      <w:color w:val="auto"/>
    </w:rPr>
  </w:style>
  <w:style w:type="paragraph" w:customStyle="1" w:styleId="CM19">
    <w:name w:val="CM19"/>
    <w:basedOn w:val="Default"/>
    <w:next w:val="Default"/>
    <w:uiPriority w:val="99"/>
    <w:rsid w:val="00885611"/>
    <w:rPr>
      <w:color w:val="auto"/>
    </w:rPr>
  </w:style>
  <w:style w:type="paragraph" w:customStyle="1" w:styleId="CM3">
    <w:name w:val="CM3"/>
    <w:basedOn w:val="Default"/>
    <w:next w:val="Default"/>
    <w:uiPriority w:val="99"/>
    <w:rsid w:val="00885611"/>
    <w:pPr>
      <w:spacing w:line="373" w:lineRule="atLeast"/>
    </w:pPr>
    <w:rPr>
      <w:color w:val="auto"/>
    </w:rPr>
  </w:style>
  <w:style w:type="paragraph" w:customStyle="1" w:styleId="CM20">
    <w:name w:val="CM20"/>
    <w:basedOn w:val="Default"/>
    <w:next w:val="Default"/>
    <w:uiPriority w:val="99"/>
    <w:rsid w:val="00885611"/>
    <w:rPr>
      <w:color w:val="auto"/>
    </w:rPr>
  </w:style>
  <w:style w:type="paragraph" w:customStyle="1" w:styleId="CM4">
    <w:name w:val="CM4"/>
    <w:basedOn w:val="Default"/>
    <w:next w:val="Default"/>
    <w:uiPriority w:val="99"/>
    <w:rsid w:val="00885611"/>
    <w:pPr>
      <w:spacing w:line="260" w:lineRule="atLeast"/>
    </w:pPr>
    <w:rPr>
      <w:color w:val="auto"/>
    </w:rPr>
  </w:style>
  <w:style w:type="paragraph" w:customStyle="1" w:styleId="CM21">
    <w:name w:val="CM21"/>
    <w:basedOn w:val="Default"/>
    <w:next w:val="Default"/>
    <w:uiPriority w:val="99"/>
    <w:rsid w:val="00885611"/>
    <w:rPr>
      <w:color w:val="auto"/>
    </w:rPr>
  </w:style>
  <w:style w:type="paragraph" w:customStyle="1" w:styleId="CM22">
    <w:name w:val="CM22"/>
    <w:basedOn w:val="Default"/>
    <w:next w:val="Default"/>
    <w:uiPriority w:val="99"/>
    <w:rsid w:val="00885611"/>
    <w:rPr>
      <w:color w:val="auto"/>
    </w:rPr>
  </w:style>
  <w:style w:type="paragraph" w:customStyle="1" w:styleId="CM6">
    <w:name w:val="CM6"/>
    <w:basedOn w:val="Default"/>
    <w:next w:val="Default"/>
    <w:uiPriority w:val="99"/>
    <w:rsid w:val="00885611"/>
    <w:pPr>
      <w:spacing w:line="260" w:lineRule="atLeast"/>
    </w:pPr>
    <w:rPr>
      <w:color w:val="auto"/>
    </w:rPr>
  </w:style>
  <w:style w:type="paragraph" w:customStyle="1" w:styleId="CM7">
    <w:name w:val="CM7"/>
    <w:basedOn w:val="Default"/>
    <w:next w:val="Default"/>
    <w:uiPriority w:val="99"/>
    <w:rsid w:val="00885611"/>
    <w:rPr>
      <w:color w:val="auto"/>
    </w:rPr>
  </w:style>
  <w:style w:type="paragraph" w:customStyle="1" w:styleId="CM9">
    <w:name w:val="CM9"/>
    <w:basedOn w:val="Default"/>
    <w:next w:val="Default"/>
    <w:uiPriority w:val="99"/>
    <w:rsid w:val="00885611"/>
    <w:pPr>
      <w:spacing w:line="260" w:lineRule="atLeast"/>
    </w:pPr>
    <w:rPr>
      <w:color w:val="auto"/>
    </w:rPr>
  </w:style>
  <w:style w:type="paragraph" w:customStyle="1" w:styleId="CM10">
    <w:name w:val="CM10"/>
    <w:basedOn w:val="Default"/>
    <w:next w:val="Default"/>
    <w:uiPriority w:val="99"/>
    <w:rsid w:val="00885611"/>
    <w:pPr>
      <w:spacing w:line="260" w:lineRule="atLeast"/>
    </w:pPr>
    <w:rPr>
      <w:color w:val="auto"/>
    </w:rPr>
  </w:style>
  <w:style w:type="paragraph" w:customStyle="1" w:styleId="CM12">
    <w:name w:val="CM12"/>
    <w:basedOn w:val="Default"/>
    <w:next w:val="Default"/>
    <w:uiPriority w:val="99"/>
    <w:rsid w:val="00885611"/>
    <w:pPr>
      <w:spacing w:line="260" w:lineRule="atLeast"/>
    </w:pPr>
    <w:rPr>
      <w:color w:val="auto"/>
    </w:rPr>
  </w:style>
  <w:style w:type="paragraph" w:customStyle="1" w:styleId="CM13">
    <w:name w:val="CM13"/>
    <w:basedOn w:val="Default"/>
    <w:next w:val="Default"/>
    <w:uiPriority w:val="99"/>
    <w:rsid w:val="00885611"/>
    <w:pPr>
      <w:spacing w:line="373" w:lineRule="atLeast"/>
    </w:pPr>
    <w:rPr>
      <w:color w:val="auto"/>
    </w:rPr>
  </w:style>
  <w:style w:type="paragraph" w:customStyle="1" w:styleId="CM23">
    <w:name w:val="CM23"/>
    <w:basedOn w:val="Default"/>
    <w:next w:val="Default"/>
    <w:uiPriority w:val="99"/>
    <w:rsid w:val="00885611"/>
    <w:rPr>
      <w:color w:val="auto"/>
    </w:rPr>
  </w:style>
  <w:style w:type="paragraph" w:customStyle="1" w:styleId="CM24">
    <w:name w:val="CM24"/>
    <w:basedOn w:val="Default"/>
    <w:next w:val="Default"/>
    <w:uiPriority w:val="99"/>
    <w:rsid w:val="00885611"/>
    <w:rPr>
      <w:color w:val="auto"/>
    </w:rPr>
  </w:style>
  <w:style w:type="paragraph" w:customStyle="1" w:styleId="CM17">
    <w:name w:val="CM17"/>
    <w:basedOn w:val="Default"/>
    <w:next w:val="Default"/>
    <w:uiPriority w:val="99"/>
    <w:rsid w:val="00885611"/>
    <w:pPr>
      <w:spacing w:line="316" w:lineRule="atLeast"/>
    </w:pPr>
    <w:rPr>
      <w:color w:val="auto"/>
    </w:rPr>
  </w:style>
  <w:style w:type="table" w:styleId="TabloKlavuzu">
    <w:name w:val="Table Grid"/>
    <w:basedOn w:val="NormalTablo"/>
    <w:uiPriority w:val="59"/>
    <w:rsid w:val="00806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C95123"/>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95123"/>
    <w:rPr>
      <w:rFonts w:eastAsiaTheme="minorEastAsia"/>
      <w:lang w:eastAsia="tr-TR"/>
    </w:rPr>
  </w:style>
  <w:style w:type="paragraph" w:styleId="Altbilgi">
    <w:name w:val="footer"/>
    <w:basedOn w:val="Normal"/>
    <w:link w:val="AltbilgiChar"/>
    <w:uiPriority w:val="99"/>
    <w:unhideWhenUsed/>
    <w:rsid w:val="00C951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5123"/>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68564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54582D-C1A9-4FD3-994D-4ECE4097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15</Pages>
  <Words>4048</Words>
  <Characters>23078</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Deva Holding A.S.</Company>
  <LinksUpToDate>false</LinksUpToDate>
  <CharactersWithSpaces>27072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Sakdemir</dc:creator>
  <cp:keywords/>
  <dc:description/>
  <cp:lastModifiedBy>egungor</cp:lastModifiedBy>
  <cp:revision>54</cp:revision>
  <cp:lastPrinted>2014-08-27T05:03:00Z</cp:lastPrinted>
  <dcterms:created xsi:type="dcterms:W3CDTF">2012-03-22T12:51:00Z</dcterms:created>
  <dcterms:modified xsi:type="dcterms:W3CDTF">2014-08-27T05:04:00Z</dcterms:modified>
</cp:coreProperties>
</file>