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853779" w:rsidRDefault="00C93104" w:rsidP="00F35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853779" w:rsidRDefault="00C93104" w:rsidP="00F350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0A244E" w:rsidRPr="00853779" w:rsidRDefault="000A244E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</w:t>
      </w:r>
      <w:r w:rsidR="00974BA0" w:rsidRPr="00853779">
        <w:rPr>
          <w:rFonts w:ascii="Times New Roman" w:hAnsi="Times New Roman" w:cs="Times New Roman"/>
          <w:sz w:val="24"/>
          <w:szCs w:val="24"/>
        </w:rPr>
        <w:t xml:space="preserve">İ.V.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g toz içeren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</w:t>
      </w:r>
      <w:proofErr w:type="spellEnd"/>
    </w:p>
    <w:p w:rsidR="000A244E" w:rsidRPr="00853779" w:rsidRDefault="000A244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853779" w:rsidRDefault="00043C1F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DA5D62" w:rsidRPr="00853779" w:rsidRDefault="00DA5D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Her bir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;</w:t>
      </w:r>
    </w:p>
    <w:p w:rsidR="00DA5D62" w:rsidRPr="00853779" w:rsidRDefault="00DA5D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1000 mg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amoksisilin’e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eşdeğer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sodyum ve 200 mg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asid’e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eşdeğer potasyum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içermektedir.</w:t>
      </w:r>
    </w:p>
    <w:p w:rsidR="00F35099" w:rsidRPr="00853779" w:rsidRDefault="00F35099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1F" w:rsidRPr="00853779" w:rsidRDefault="00043C1F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>):</w:t>
      </w:r>
    </w:p>
    <w:p w:rsidR="00616E59" w:rsidRPr="00853779" w:rsidRDefault="00DA5D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6.1’e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DA5D62" w:rsidRPr="00853779" w:rsidRDefault="00DA5D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D876CD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FARMASÖ</w:t>
      </w:r>
      <w:r w:rsidR="00C93104" w:rsidRPr="00853779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46386E" w:rsidRPr="00853779" w:rsidRDefault="001C134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toz içeren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</w:t>
      </w:r>
      <w:proofErr w:type="spellEnd"/>
    </w:p>
    <w:p w:rsidR="00530A02" w:rsidRPr="00853779" w:rsidRDefault="00530A0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Hemen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beyaz-krem renkte kristal toz</w:t>
      </w:r>
    </w:p>
    <w:p w:rsidR="00530A02" w:rsidRPr="00853779" w:rsidRDefault="00530A0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AMOKLAVİN,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resmi antibiyotik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reçeteleme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kılavuzları ve duyarlılık verilerine uygun olarak kullanılmalıdır.</w:t>
      </w:r>
    </w:p>
    <w:p w:rsidR="00F35099" w:rsidRPr="00853779" w:rsidRDefault="00F3509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AMOKLAVİN (beta-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antibiyotik penisilin ve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inhibitörü), genel pratikte ve hastanede sıklıkla görülen bakteriyel patojenlere karşı belirgin derecede geniş aktivite spektrumuna sahip bir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ajandır.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laktamazı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edici etkisi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 spektrumunu diğer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antibiyotiklere dirençli organizmaları da içine alacak şekilde genişletir. AMOKLAVİN, aşağıdaki sistemlerde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duyarlı organizmaların neden olduğu bakteriyel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kısa süreli tedavisinde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Üst Solunum Yolu Enfeksiyonları (KBB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): Örn.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Rekürren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tonsillit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sinüzit,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Alt Solunum Yolu Enfeksiyonları: Örn. kronik bronşitin akut alevlenmeleri,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lobar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bronkopnömoni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Genito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Sistem Enfeksiyonları: Örn. Sistit,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üretrit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piyelonefrit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kadın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gonore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Deri ve Yumuşak Doku Enfeksiyonları</w:t>
      </w:r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Kemik ve eklem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: Örn.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Osteomiyelit</w:t>
      </w:r>
      <w:proofErr w:type="spellEnd"/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Dental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Dentoalveolar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abseler</w:t>
      </w:r>
      <w:proofErr w:type="spellEnd"/>
    </w:p>
    <w:p w:rsidR="00F33E25" w:rsidRPr="00853779" w:rsidRDefault="00F33E25" w:rsidP="00F35099">
      <w:pPr>
        <w:pStyle w:val="ListeParagraf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Diğerleri: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Sepsise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bağlı düşük, lohusalık humması,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sepsis</w:t>
      </w:r>
      <w:proofErr w:type="spellEnd"/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D76" w:rsidRPr="00853779" w:rsidRDefault="00ED3D7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lastRenderedPageBreak/>
        <w:t xml:space="preserve">AMOKLAVİN ayrıca,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, baş ve boyun, ka</w:t>
      </w:r>
      <w:r w:rsidR="00A37DA7" w:rsidRPr="00853779">
        <w:rPr>
          <w:rFonts w:ascii="Times New Roman" w:hAnsi="Times New Roman" w:cs="Times New Roman"/>
          <w:sz w:val="24"/>
          <w:szCs w:val="24"/>
        </w:rPr>
        <w:t>r</w:t>
      </w:r>
      <w:r w:rsidRPr="00853779">
        <w:rPr>
          <w:rFonts w:ascii="Times New Roman" w:hAnsi="Times New Roman" w:cs="Times New Roman"/>
          <w:sz w:val="24"/>
          <w:szCs w:val="24"/>
        </w:rPr>
        <w:t xml:space="preserve">diyak,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eklem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replasmanı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safra yolları cerrahisi gibi büyük ameliyatlar ile ilişkili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ED3D76" w:rsidRPr="00853779" w:rsidRDefault="00ED3D7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Duyarlı organizmaların listesi Farmakolojik Özellikleri/Mikrobiyoloji bölümünde verilmiştir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5.1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</w:t>
      </w:r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duyarlılık, coğrafya ve zamana göre değişecektir. Mevcut ise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duyarlılık verilerine danışılmalı ve gerektiğinde mikrobiyolojik örnekleme ve duyarlılık testleri yapılmalıdır.</w:t>
      </w:r>
    </w:p>
    <w:p w:rsidR="00F33E25" w:rsidRPr="00853779" w:rsidRDefault="00F33E2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853779" w:rsidRDefault="00BE6FE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7F0C62" w:rsidRPr="00853779" w:rsidRDefault="00B17273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olduğu enfeksiyonların tedavisinde, </w:t>
      </w:r>
      <w:r w:rsidR="005D6E5E" w:rsidRPr="00853779">
        <w:rPr>
          <w:rFonts w:ascii="Times New Roman" w:hAnsi="Times New Roman" w:cs="Times New Roman"/>
          <w:sz w:val="24"/>
          <w:szCs w:val="24"/>
        </w:rPr>
        <w:t xml:space="preserve">8 saatte bir </w:t>
      </w:r>
      <w:proofErr w:type="gramStart"/>
      <w:r w:rsidR="005D6E5E" w:rsidRPr="00853779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="00974BA0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="005D6E5E" w:rsidRPr="00853779">
        <w:rPr>
          <w:rFonts w:ascii="Times New Roman" w:hAnsi="Times New Roman" w:cs="Times New Roman"/>
          <w:sz w:val="24"/>
          <w:szCs w:val="24"/>
        </w:rPr>
        <w:t>g AMOKLAVİN verilir.</w:t>
      </w:r>
      <w:r w:rsidR="001E0421" w:rsidRPr="00853779">
        <w:rPr>
          <w:rFonts w:ascii="Times New Roman" w:hAnsi="Times New Roman" w:cs="Times New Roman"/>
          <w:sz w:val="24"/>
          <w:szCs w:val="24"/>
        </w:rPr>
        <w:t xml:space="preserve"> Gerektiğinde bu doz 6 saatte bir </w:t>
      </w:r>
      <w:proofErr w:type="gramStart"/>
      <w:r w:rsidR="001E0421" w:rsidRPr="00853779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="00974BA0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="001E0421" w:rsidRPr="00853779">
        <w:rPr>
          <w:rFonts w:ascii="Times New Roman" w:hAnsi="Times New Roman" w:cs="Times New Roman"/>
          <w:sz w:val="24"/>
          <w:szCs w:val="24"/>
        </w:rPr>
        <w:t>g AMOKLAVİN olarak tatbik edilir.</w:t>
      </w:r>
    </w:p>
    <w:p w:rsidR="00F35099" w:rsidRPr="00853779" w:rsidRDefault="00F3509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E5E" w:rsidRPr="00853779" w:rsidRDefault="005D6E5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Cerrahi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</w:p>
    <w:p w:rsidR="005D6E5E" w:rsidRPr="00853779" w:rsidRDefault="005D6E5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1 saatten kısa süren cerrahi müdahaleler için anestezi indüksiyonu sırasında </w:t>
      </w:r>
      <w:r w:rsidR="00B17273" w:rsidRPr="00853779">
        <w:rPr>
          <w:rFonts w:ascii="Times New Roman" w:hAnsi="Times New Roman" w:cs="Times New Roman"/>
          <w:sz w:val="24"/>
          <w:szCs w:val="24"/>
        </w:rPr>
        <w:t xml:space="preserve">1.2g AMOKLAVİN </w:t>
      </w:r>
      <w:r w:rsidRPr="00853779">
        <w:rPr>
          <w:rFonts w:ascii="Times New Roman" w:hAnsi="Times New Roman" w:cs="Times New Roman"/>
          <w:sz w:val="24"/>
          <w:szCs w:val="24"/>
        </w:rPr>
        <w:t xml:space="preserve">verilmesi </w:t>
      </w:r>
      <w:r w:rsidR="00B17273" w:rsidRPr="00853779">
        <w:rPr>
          <w:rFonts w:ascii="Times New Roman" w:hAnsi="Times New Roman" w:cs="Times New Roman"/>
          <w:sz w:val="24"/>
          <w:szCs w:val="24"/>
        </w:rPr>
        <w:t>önerilmektedir</w:t>
      </w:r>
      <w:r w:rsidRPr="00853779">
        <w:rPr>
          <w:rFonts w:ascii="Times New Roman" w:hAnsi="Times New Roman" w:cs="Times New Roman"/>
          <w:sz w:val="24"/>
          <w:szCs w:val="24"/>
        </w:rPr>
        <w:t xml:space="preserve">. </w:t>
      </w:r>
      <w:r w:rsidR="0021033B" w:rsidRPr="00853779">
        <w:rPr>
          <w:rFonts w:ascii="Times New Roman" w:hAnsi="Times New Roman" w:cs="Times New Roman"/>
          <w:sz w:val="24"/>
          <w:szCs w:val="24"/>
        </w:rPr>
        <w:t xml:space="preserve">1 saatten </w:t>
      </w:r>
      <w:r w:rsidRPr="00853779">
        <w:rPr>
          <w:rFonts w:ascii="Times New Roman" w:hAnsi="Times New Roman" w:cs="Times New Roman"/>
          <w:sz w:val="24"/>
          <w:szCs w:val="24"/>
        </w:rPr>
        <w:t xml:space="preserve">uzun süreli </w:t>
      </w:r>
      <w:r w:rsidR="0021033B" w:rsidRPr="00853779">
        <w:rPr>
          <w:rFonts w:ascii="Times New Roman" w:hAnsi="Times New Roman" w:cs="Times New Roman"/>
          <w:sz w:val="24"/>
          <w:szCs w:val="24"/>
        </w:rPr>
        <w:t>cerrahi müdahalelerde</w:t>
      </w:r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="00A84DCD" w:rsidRPr="00853779">
        <w:rPr>
          <w:rFonts w:ascii="Times New Roman" w:hAnsi="Times New Roman" w:cs="Times New Roman"/>
          <w:sz w:val="24"/>
          <w:szCs w:val="24"/>
        </w:rPr>
        <w:t xml:space="preserve">tedavinin </w:t>
      </w:r>
      <w:r w:rsidR="009F4BFE" w:rsidRPr="00853779">
        <w:rPr>
          <w:rFonts w:ascii="Times New Roman" w:hAnsi="Times New Roman" w:cs="Times New Roman"/>
          <w:sz w:val="24"/>
          <w:szCs w:val="24"/>
        </w:rPr>
        <w:t>24 saatte 4 doza kadar</w:t>
      </w:r>
      <w:r w:rsidR="0021033B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="00A84DCD" w:rsidRPr="00853779">
        <w:rPr>
          <w:rFonts w:ascii="Times New Roman" w:hAnsi="Times New Roman" w:cs="Times New Roman"/>
          <w:sz w:val="24"/>
          <w:szCs w:val="24"/>
        </w:rPr>
        <w:t>sürdürülmesi</w:t>
      </w:r>
      <w:r w:rsidR="0021033B" w:rsidRPr="00853779">
        <w:rPr>
          <w:rFonts w:ascii="Times New Roman" w:hAnsi="Times New Roman" w:cs="Times New Roman"/>
          <w:sz w:val="24"/>
          <w:szCs w:val="24"/>
        </w:rPr>
        <w:t xml:space="preserve"> gerekebilir</w:t>
      </w:r>
      <w:r w:rsidRPr="00853779">
        <w:rPr>
          <w:rFonts w:ascii="Times New Roman" w:hAnsi="Times New Roman" w:cs="Times New Roman"/>
          <w:sz w:val="24"/>
          <w:szCs w:val="24"/>
        </w:rPr>
        <w:t xml:space="preserve">. </w:t>
      </w:r>
      <w:r w:rsidR="001E0421" w:rsidRPr="00853779">
        <w:rPr>
          <w:rFonts w:ascii="Times New Roman" w:hAnsi="Times New Roman" w:cs="Times New Roman"/>
          <w:sz w:val="24"/>
          <w:szCs w:val="24"/>
        </w:rPr>
        <w:t xml:space="preserve">Eğer ciddi bir </w:t>
      </w:r>
      <w:proofErr w:type="gramStart"/>
      <w:r w:rsidR="001E0421" w:rsidRPr="00853779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1E0421" w:rsidRPr="00853779">
        <w:rPr>
          <w:rFonts w:ascii="Times New Roman" w:hAnsi="Times New Roman" w:cs="Times New Roman"/>
          <w:sz w:val="24"/>
          <w:szCs w:val="24"/>
        </w:rPr>
        <w:t xml:space="preserve"> riski mevcutsa (örn. </w:t>
      </w:r>
      <w:proofErr w:type="spellStart"/>
      <w:r w:rsidR="001E0421" w:rsidRPr="00853779">
        <w:rPr>
          <w:rFonts w:ascii="Times New Roman" w:hAnsi="Times New Roman" w:cs="Times New Roman"/>
          <w:sz w:val="24"/>
          <w:szCs w:val="24"/>
        </w:rPr>
        <w:t>kolorektal</w:t>
      </w:r>
      <w:proofErr w:type="spellEnd"/>
      <w:r w:rsidR="001E0421" w:rsidRPr="00853779">
        <w:rPr>
          <w:rFonts w:ascii="Times New Roman" w:hAnsi="Times New Roman" w:cs="Times New Roman"/>
          <w:sz w:val="24"/>
          <w:szCs w:val="24"/>
        </w:rPr>
        <w:t xml:space="preserve"> ameliyatlar) tedavi birkaç gün sürdürülmelidir. Operasyondan sonra </w:t>
      </w:r>
      <w:proofErr w:type="gramStart"/>
      <w:r w:rsidR="001E0421" w:rsidRPr="00853779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1E0421" w:rsidRPr="00853779">
        <w:rPr>
          <w:rFonts w:ascii="Times New Roman" w:hAnsi="Times New Roman" w:cs="Times New Roman"/>
          <w:sz w:val="24"/>
          <w:szCs w:val="24"/>
        </w:rPr>
        <w:t xml:space="preserve"> belirtileri ile karşılaşıldığında, </w:t>
      </w:r>
      <w:proofErr w:type="spellStart"/>
      <w:r w:rsidR="001E0421"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1E0421" w:rsidRPr="00853779">
        <w:rPr>
          <w:rFonts w:ascii="Times New Roman" w:hAnsi="Times New Roman" w:cs="Times New Roman"/>
          <w:sz w:val="24"/>
          <w:szCs w:val="24"/>
        </w:rPr>
        <w:t xml:space="preserve"> veya oral dozla tedavi sürdürülür</w:t>
      </w:r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5D6E5E" w:rsidRPr="00853779" w:rsidRDefault="005D6E5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16E59" w:rsidRPr="00853779" w:rsidRDefault="00CF1223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kullanım içindir.</w:t>
      </w:r>
      <w:r w:rsidR="00D45F0B" w:rsidRPr="00853779">
        <w:rPr>
          <w:rFonts w:ascii="Times New Roman" w:hAnsi="Times New Roman" w:cs="Times New Roman"/>
          <w:sz w:val="24"/>
          <w:szCs w:val="24"/>
        </w:rPr>
        <w:t xml:space="preserve"> AMOKLAVİN </w:t>
      </w:r>
      <w:proofErr w:type="spellStart"/>
      <w:r w:rsidR="00D45F0B" w:rsidRPr="00853779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D45F0B" w:rsidRPr="00853779">
        <w:rPr>
          <w:rFonts w:ascii="Times New Roman" w:hAnsi="Times New Roman" w:cs="Times New Roman"/>
          <w:sz w:val="24"/>
          <w:szCs w:val="24"/>
        </w:rPr>
        <w:t xml:space="preserve"> uygulama için uygun değildir.</w:t>
      </w:r>
    </w:p>
    <w:p w:rsidR="00F35099" w:rsidRPr="00853779" w:rsidRDefault="00F3509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223" w:rsidRPr="00853779" w:rsidRDefault="009C15BF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AMOKLAVİN</w:t>
      </w:r>
      <w:r w:rsidR="00CF1223" w:rsidRPr="00853779">
        <w:rPr>
          <w:rFonts w:ascii="Times New Roman" w:hAnsi="Times New Roman" w:cs="Times New Roman"/>
          <w:sz w:val="24"/>
          <w:szCs w:val="24"/>
        </w:rPr>
        <w:t xml:space="preserve">, ambalajında yer alan çözücüde (20 ml </w:t>
      </w:r>
      <w:proofErr w:type="gramStart"/>
      <w:r w:rsidR="00CF1223" w:rsidRPr="00853779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="00CF1223" w:rsidRPr="00853779">
        <w:rPr>
          <w:rFonts w:ascii="Times New Roman" w:hAnsi="Times New Roman" w:cs="Times New Roman"/>
          <w:sz w:val="24"/>
          <w:szCs w:val="24"/>
        </w:rPr>
        <w:t xml:space="preserve"> su) çözü</w:t>
      </w:r>
      <w:r w:rsidR="00D45F0B" w:rsidRPr="00853779">
        <w:rPr>
          <w:rFonts w:ascii="Times New Roman" w:hAnsi="Times New Roman" w:cs="Times New Roman"/>
          <w:sz w:val="24"/>
          <w:szCs w:val="24"/>
        </w:rPr>
        <w:t>ndürü</w:t>
      </w:r>
      <w:r w:rsidR="00CF1223" w:rsidRPr="00853779">
        <w:rPr>
          <w:rFonts w:ascii="Times New Roman" w:hAnsi="Times New Roman" w:cs="Times New Roman"/>
          <w:sz w:val="24"/>
          <w:szCs w:val="24"/>
        </w:rPr>
        <w:t>lür ve bunu takiben 3-4 dakika</w:t>
      </w:r>
      <w:r w:rsidRPr="00853779">
        <w:rPr>
          <w:rFonts w:ascii="Times New Roman" w:hAnsi="Times New Roman" w:cs="Times New Roman"/>
          <w:sz w:val="24"/>
          <w:szCs w:val="24"/>
        </w:rPr>
        <w:t xml:space="preserve"> süreyle</w:t>
      </w:r>
      <w:r w:rsidR="00CF1223" w:rsidRPr="00853779">
        <w:rPr>
          <w:rFonts w:ascii="Times New Roman" w:hAnsi="Times New Roman" w:cs="Times New Roman"/>
          <w:sz w:val="24"/>
          <w:szCs w:val="24"/>
        </w:rPr>
        <w:t xml:space="preserve"> doğrudan damara </w:t>
      </w:r>
      <w:r w:rsidR="00651E5E" w:rsidRPr="00853779">
        <w:rPr>
          <w:rFonts w:ascii="Times New Roman" w:hAnsi="Times New Roman" w:cs="Times New Roman"/>
          <w:sz w:val="24"/>
          <w:szCs w:val="24"/>
        </w:rPr>
        <w:t xml:space="preserve">veya </w:t>
      </w:r>
      <w:r w:rsidR="00E84AED" w:rsidRPr="00853779">
        <w:rPr>
          <w:rFonts w:ascii="Times New Roman" w:hAnsi="Times New Roman" w:cs="Times New Roman"/>
          <w:sz w:val="24"/>
          <w:szCs w:val="24"/>
        </w:rPr>
        <w:t>serum setinin lastik</w:t>
      </w:r>
      <w:r w:rsidR="00651E5E" w:rsidRPr="00853779">
        <w:rPr>
          <w:rFonts w:ascii="Times New Roman" w:hAnsi="Times New Roman" w:cs="Times New Roman"/>
          <w:sz w:val="24"/>
          <w:szCs w:val="24"/>
        </w:rPr>
        <w:t xml:space="preserve"> tüpüne </w:t>
      </w:r>
      <w:r w:rsidR="00CF1223" w:rsidRPr="00853779">
        <w:rPr>
          <w:rFonts w:ascii="Times New Roman" w:hAnsi="Times New Roman" w:cs="Times New Roman"/>
          <w:sz w:val="24"/>
          <w:szCs w:val="24"/>
        </w:rPr>
        <w:t xml:space="preserve">enjekte edilir veya </w:t>
      </w:r>
      <w:r w:rsidR="002C0556" w:rsidRPr="00853779">
        <w:rPr>
          <w:rFonts w:ascii="Times New Roman" w:hAnsi="Times New Roman" w:cs="Times New Roman"/>
          <w:sz w:val="24"/>
          <w:szCs w:val="24"/>
        </w:rPr>
        <w:t xml:space="preserve">30 ila 40 dakikalık </w:t>
      </w:r>
      <w:proofErr w:type="spellStart"/>
      <w:r w:rsidR="002C0556" w:rsidRPr="00853779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2C0556" w:rsidRPr="00853779">
        <w:rPr>
          <w:rFonts w:ascii="Times New Roman" w:hAnsi="Times New Roman" w:cs="Times New Roman"/>
          <w:sz w:val="24"/>
          <w:szCs w:val="24"/>
        </w:rPr>
        <w:t xml:space="preserve"> şeklinde uygulanır.</w:t>
      </w:r>
      <w:r w:rsidR="00AE5D36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36"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="00AE5D36" w:rsidRPr="00853779">
        <w:rPr>
          <w:rFonts w:ascii="Times New Roman" w:hAnsi="Times New Roman" w:cs="Times New Roman"/>
          <w:sz w:val="24"/>
          <w:szCs w:val="24"/>
        </w:rPr>
        <w:t xml:space="preserve"> geçimli olduğu </w:t>
      </w:r>
      <w:proofErr w:type="spellStart"/>
      <w:r w:rsidR="00AE5D36"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AE5D36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D36" w:rsidRPr="00853779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AE5D36" w:rsidRPr="00853779">
        <w:rPr>
          <w:rFonts w:ascii="Times New Roman" w:hAnsi="Times New Roman" w:cs="Times New Roman"/>
          <w:sz w:val="24"/>
          <w:szCs w:val="24"/>
        </w:rPr>
        <w:t xml:space="preserve"> çözeltileri ve bu çözeltilerdeki </w:t>
      </w:r>
      <w:proofErr w:type="spellStart"/>
      <w:r w:rsidR="00AE5D36" w:rsidRPr="00853779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E5D36" w:rsidRPr="00853779">
        <w:rPr>
          <w:rFonts w:ascii="Times New Roman" w:hAnsi="Times New Roman" w:cs="Times New Roman"/>
          <w:sz w:val="24"/>
          <w:szCs w:val="24"/>
        </w:rPr>
        <w:t xml:space="preserve"> süreleri Bölüm </w:t>
      </w:r>
      <w:proofErr w:type="gramStart"/>
      <w:r w:rsidR="00AE5D36" w:rsidRPr="00853779">
        <w:rPr>
          <w:rFonts w:ascii="Times New Roman" w:hAnsi="Times New Roman" w:cs="Times New Roman"/>
          <w:sz w:val="24"/>
          <w:szCs w:val="24"/>
        </w:rPr>
        <w:t>6.6’da</w:t>
      </w:r>
      <w:proofErr w:type="gramEnd"/>
      <w:r w:rsidR="00AE5D36" w:rsidRPr="00853779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AE5D36" w:rsidRPr="00853779" w:rsidRDefault="00AE5D3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556" w:rsidRPr="00853779" w:rsidRDefault="002C055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3 aydan küçük bebeklerde AMOKLAVİN yalnızca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yoluyla uygulanmalıdır.</w:t>
      </w:r>
    </w:p>
    <w:p w:rsidR="00CF1223" w:rsidRPr="00853779" w:rsidRDefault="00CF1223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8B9" w:rsidRPr="00853779" w:rsidRDefault="009928B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tedavisi </w:t>
      </w:r>
      <w:proofErr w:type="spellStart"/>
      <w:r w:rsidR="004F71B2"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4F71B2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1B2" w:rsidRPr="00853779">
        <w:rPr>
          <w:rFonts w:ascii="Times New Roman" w:hAnsi="Times New Roman" w:cs="Times New Roman"/>
          <w:sz w:val="24"/>
          <w:szCs w:val="24"/>
        </w:rPr>
        <w:t>formülasyonla</w:t>
      </w:r>
      <w:proofErr w:type="spellEnd"/>
      <w:r w:rsidR="004F71B2" w:rsidRPr="00853779">
        <w:rPr>
          <w:rFonts w:ascii="Times New Roman" w:hAnsi="Times New Roman" w:cs="Times New Roman"/>
          <w:sz w:val="24"/>
          <w:szCs w:val="24"/>
        </w:rPr>
        <w:t xml:space="preserve"> başlatılıp </w:t>
      </w:r>
      <w:r w:rsidRPr="00853779">
        <w:rPr>
          <w:rFonts w:ascii="Times New Roman" w:hAnsi="Times New Roman" w:cs="Times New Roman"/>
          <w:sz w:val="24"/>
          <w:szCs w:val="24"/>
        </w:rPr>
        <w:t xml:space="preserve">uygun görüldüğü durumlarda </w:t>
      </w:r>
      <w:r w:rsidR="004F71B2" w:rsidRPr="00853779">
        <w:rPr>
          <w:rFonts w:ascii="Times New Roman" w:hAnsi="Times New Roman" w:cs="Times New Roman"/>
          <w:sz w:val="24"/>
          <w:szCs w:val="24"/>
        </w:rPr>
        <w:t>uygun oral formuyla sonlandırılabilir.</w:t>
      </w:r>
    </w:p>
    <w:p w:rsidR="009928B9" w:rsidRPr="00853779" w:rsidRDefault="009928B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C91" w:rsidRPr="00853779" w:rsidRDefault="00326C91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Hem yetişkinlerde hem de çocuklarda tedavi, yeniden bir tetkik yapılmadan 14 günden fazla sürdürülmemelidir.</w:t>
      </w:r>
    </w:p>
    <w:p w:rsidR="00326C91" w:rsidRPr="00853779" w:rsidRDefault="00326C91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853779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2F009A" w:rsidRPr="00853779" w:rsidRDefault="002F009A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Böbrek yetmezliği:</w:t>
      </w:r>
    </w:p>
    <w:p w:rsidR="002F009A" w:rsidRPr="00853779" w:rsidRDefault="008B4E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30 m/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dk’dan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yüksek hastalarda doz ayarlamasına gerek yoktur.</w:t>
      </w:r>
    </w:p>
    <w:p w:rsidR="008B4ED5" w:rsidRPr="00853779" w:rsidRDefault="008B4E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ED5" w:rsidRPr="00853779" w:rsidRDefault="00A1739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lastRenderedPageBreak/>
        <w:t>Erişkin</w:t>
      </w:r>
      <w:r w:rsidR="008B4ED5" w:rsidRPr="00853779">
        <w:rPr>
          <w:rFonts w:ascii="Times New Roman" w:hAnsi="Times New Roman" w:cs="Times New Roman"/>
          <w:sz w:val="24"/>
          <w:szCs w:val="24"/>
        </w:rPr>
        <w:t>ler ve 40kg’ın üzerindeki çocuklarda:</w:t>
      </w:r>
    </w:p>
    <w:tbl>
      <w:tblPr>
        <w:tblStyle w:val="TabloKlavuzu"/>
        <w:tblW w:w="0" w:type="auto"/>
        <w:tblLook w:val="04A0"/>
      </w:tblPr>
      <w:tblGrid>
        <w:gridCol w:w="3085"/>
        <w:gridCol w:w="6127"/>
      </w:tblGrid>
      <w:tr w:rsidR="008B4ED5" w:rsidRPr="00853779" w:rsidTr="00036335">
        <w:tc>
          <w:tcPr>
            <w:tcW w:w="3085" w:type="dxa"/>
          </w:tcPr>
          <w:p w:rsidR="008B4ED5" w:rsidRPr="00853779" w:rsidRDefault="004055B5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klerensi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  <w:r w:rsidR="00036335" w:rsidRPr="0085377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335" w:rsidRPr="008537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ml/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6127" w:type="dxa"/>
          </w:tcPr>
          <w:p w:rsidR="008B4ED5" w:rsidRPr="00853779" w:rsidRDefault="004055B5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Tedaviye 1.2g AMOKLAVİN ile başlanır ve bu tedaviye 12 saatte bir 600 mg </w:t>
            </w:r>
            <w:r w:rsidR="00082EA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AMOKLAVİN </w:t>
            </w:r>
            <w:r w:rsidR="006B5881" w:rsidRPr="00853779">
              <w:rPr>
                <w:rFonts w:ascii="Times New Roman" w:hAnsi="Times New Roman" w:cs="Times New Roman"/>
                <w:sz w:val="24"/>
                <w:szCs w:val="24"/>
              </w:rPr>
              <w:t>uygulanarak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devam edilir</w:t>
            </w:r>
          </w:p>
        </w:tc>
      </w:tr>
      <w:tr w:rsidR="008B4ED5" w:rsidRPr="00853779" w:rsidTr="00036335">
        <w:tc>
          <w:tcPr>
            <w:tcW w:w="3085" w:type="dxa"/>
          </w:tcPr>
          <w:p w:rsidR="008B4ED5" w:rsidRPr="00853779" w:rsidRDefault="004055B5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klerensi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00D" w:rsidRPr="00853779">
              <w:rPr>
                <w:rFonts w:ascii="Times New Roman" w:hAnsi="Times New Roman" w:cs="Times New Roman"/>
                <w:sz w:val="24"/>
                <w:szCs w:val="24"/>
              </w:rPr>
              <w:t>&lt; 10 ml/</w:t>
            </w:r>
            <w:proofErr w:type="spellStart"/>
            <w:r w:rsidR="0078700D" w:rsidRPr="0085377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6127" w:type="dxa"/>
          </w:tcPr>
          <w:p w:rsidR="008B4ED5" w:rsidRPr="00853779" w:rsidRDefault="0078700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Tedaviye 1.2g AMOKLAVİN ile başlanır ve bu tedaviye 24 saatte bir 600 mg </w:t>
            </w:r>
            <w:r w:rsidR="00082EA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AMOKLAVİN </w:t>
            </w:r>
            <w:r w:rsidR="006B5881" w:rsidRPr="00853779">
              <w:rPr>
                <w:rFonts w:ascii="Times New Roman" w:hAnsi="Times New Roman" w:cs="Times New Roman"/>
                <w:sz w:val="24"/>
                <w:szCs w:val="24"/>
              </w:rPr>
              <w:t>uygulanarak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devam edilir</w:t>
            </w:r>
          </w:p>
        </w:tc>
      </w:tr>
      <w:tr w:rsidR="008B4ED5" w:rsidRPr="00853779" w:rsidTr="00036335">
        <w:tc>
          <w:tcPr>
            <w:tcW w:w="3085" w:type="dxa"/>
          </w:tcPr>
          <w:p w:rsidR="008B4ED5" w:rsidRPr="00853779" w:rsidRDefault="0078700D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Hemodiyaliz hastaları</w:t>
            </w:r>
          </w:p>
        </w:tc>
        <w:tc>
          <w:tcPr>
            <w:tcW w:w="6127" w:type="dxa"/>
          </w:tcPr>
          <w:p w:rsidR="008B4ED5" w:rsidRPr="00853779" w:rsidRDefault="002427F8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Tedaviye 1.2g AMOKLAVİN ile başlanır ve bu tedaviye 24 saatte bir 600 mg </w:t>
            </w:r>
            <w:r w:rsidR="002B5ACB" w:rsidRPr="00853779">
              <w:rPr>
                <w:rFonts w:ascii="Times New Roman" w:hAnsi="Times New Roman" w:cs="Times New Roman"/>
                <w:sz w:val="24"/>
                <w:szCs w:val="24"/>
              </w:rPr>
              <w:t>uygulanarak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devam edilir. </w:t>
            </w:r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Diyaliz hem </w:t>
            </w:r>
            <w:proofErr w:type="spellStart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amoksisilin</w:t>
            </w:r>
            <w:proofErr w:type="spellEnd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hem </w:t>
            </w:r>
            <w:proofErr w:type="spellStart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klavulanik</w:t>
            </w:r>
            <w:proofErr w:type="spellEnd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asit serum </w:t>
            </w:r>
            <w:proofErr w:type="gramStart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konsantrasyonlarını</w:t>
            </w:r>
            <w:proofErr w:type="gramEnd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düşürdüğünden </w:t>
            </w:r>
            <w:r w:rsidR="00FA777D" w:rsidRPr="008537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iyaliz uygulamasından sonra</w:t>
            </w:r>
            <w:r w:rsidR="00FA777D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600 mg AMOKLAVİN uygulanmalıdır</w:t>
            </w:r>
          </w:p>
        </w:tc>
      </w:tr>
    </w:tbl>
    <w:p w:rsidR="008B4ED5" w:rsidRPr="00853779" w:rsidRDefault="008B4E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77D" w:rsidRPr="00853779" w:rsidRDefault="00FA777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kg’ın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altındaki çocuklarda:</w:t>
      </w: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FA777D" w:rsidRPr="00853779" w:rsidTr="00FA777D">
        <w:tc>
          <w:tcPr>
            <w:tcW w:w="3369" w:type="dxa"/>
          </w:tcPr>
          <w:p w:rsidR="00FA777D" w:rsidRPr="00853779" w:rsidRDefault="00FA777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klerensi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: 10-30 ml/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5843" w:type="dxa"/>
          </w:tcPr>
          <w:p w:rsidR="00FA777D" w:rsidRPr="00853779" w:rsidRDefault="00FA777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Her 12 saatte bir 30mg/kg</w:t>
            </w:r>
          </w:p>
        </w:tc>
      </w:tr>
      <w:tr w:rsidR="00FA777D" w:rsidRPr="00853779" w:rsidTr="00FA777D">
        <w:tc>
          <w:tcPr>
            <w:tcW w:w="3369" w:type="dxa"/>
          </w:tcPr>
          <w:p w:rsidR="00FA777D" w:rsidRPr="00853779" w:rsidRDefault="00FA777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klerensi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&lt; 10 ml/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5843" w:type="dxa"/>
          </w:tcPr>
          <w:p w:rsidR="00FA777D" w:rsidRPr="00853779" w:rsidRDefault="00FA777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Her 24 saatte bir 30mg/kg</w:t>
            </w:r>
          </w:p>
        </w:tc>
      </w:tr>
      <w:tr w:rsidR="00FA777D" w:rsidRPr="00853779" w:rsidTr="00FA777D">
        <w:tc>
          <w:tcPr>
            <w:tcW w:w="3369" w:type="dxa"/>
          </w:tcPr>
          <w:p w:rsidR="00FA777D" w:rsidRPr="00853779" w:rsidRDefault="00FA777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Hemodiyaliz hastaları</w:t>
            </w:r>
          </w:p>
        </w:tc>
        <w:tc>
          <w:tcPr>
            <w:tcW w:w="5843" w:type="dxa"/>
          </w:tcPr>
          <w:p w:rsidR="00FA777D" w:rsidRPr="00853779" w:rsidRDefault="00FA777D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Her 24 saatte bir 30mg/kg. </w:t>
            </w:r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Diyaliz hem </w:t>
            </w:r>
            <w:proofErr w:type="spellStart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amoksisilin</w:t>
            </w:r>
            <w:proofErr w:type="spellEnd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hem </w:t>
            </w:r>
            <w:proofErr w:type="spellStart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klavulanik</w:t>
            </w:r>
            <w:proofErr w:type="spellEnd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asit serum </w:t>
            </w:r>
            <w:proofErr w:type="gramStart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konsantrasyonlarını</w:t>
            </w:r>
            <w:proofErr w:type="gramEnd"/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düşürdüğünden diyaliz uygulamasından sonra ek olarak </w:t>
            </w:r>
            <w:r w:rsidR="00DF565C" w:rsidRPr="00853779">
              <w:rPr>
                <w:rFonts w:ascii="Times New Roman" w:hAnsi="Times New Roman" w:cs="Times New Roman"/>
                <w:sz w:val="24"/>
                <w:szCs w:val="24"/>
              </w:rPr>
              <w:t>15mg/kg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AMOKLAVİN uygulanmalıdır</w:t>
            </w:r>
            <w:r w:rsidR="00656DD9" w:rsidRPr="00853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53779" w:rsidRDefault="00BE6FE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Karaciğer yetmezliği:</w:t>
      </w:r>
    </w:p>
    <w:p w:rsidR="00616E59" w:rsidRPr="00853779" w:rsidRDefault="00695AA1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Doz ayarlaması dikkatli yapılmalı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fonksiyonlar belirli aralıklar ile izlenmelidir.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53779" w:rsidRDefault="00BE6FE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853779" w:rsidRDefault="004F71B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kg’ın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üzerindeki çocuklarda </w:t>
      </w:r>
      <w:r w:rsidR="00A17394" w:rsidRPr="00853779">
        <w:rPr>
          <w:rFonts w:ascii="Times New Roman" w:hAnsi="Times New Roman" w:cs="Times New Roman"/>
          <w:sz w:val="24"/>
          <w:szCs w:val="24"/>
        </w:rPr>
        <w:t>erişkin</w:t>
      </w:r>
      <w:r w:rsidRPr="00853779">
        <w:rPr>
          <w:rFonts w:ascii="Times New Roman" w:hAnsi="Times New Roman" w:cs="Times New Roman"/>
          <w:sz w:val="24"/>
          <w:szCs w:val="24"/>
        </w:rPr>
        <w:t>ler için belirtilen dozlar uygulanır.</w:t>
      </w:r>
    </w:p>
    <w:p w:rsidR="004F71B2" w:rsidRPr="00853779" w:rsidRDefault="00EC68C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40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kg’ın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altındaki çocuklarda:</w:t>
      </w:r>
    </w:p>
    <w:p w:rsidR="00EC68C2" w:rsidRPr="00853779" w:rsidRDefault="00EC68C2" w:rsidP="00F35099">
      <w:pPr>
        <w:pStyle w:val="ListeParagraf"/>
        <w:numPr>
          <w:ilvl w:val="0"/>
          <w:numId w:val="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3 ay ve üzeri çocuklarda tavsiye edilen doz 8 saatte bir </w:t>
      </w:r>
      <w:r w:rsidR="00A657C8" w:rsidRPr="00853779">
        <w:rPr>
          <w:rFonts w:ascii="Times New Roman" w:hAnsi="Times New Roman" w:cs="Times New Roman"/>
          <w:sz w:val="24"/>
          <w:szCs w:val="24"/>
        </w:rPr>
        <w:t>30mg/kg*’</w:t>
      </w:r>
      <w:proofErr w:type="gramStart"/>
      <w:r w:rsidR="00A657C8" w:rsidRPr="00853779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.</w:t>
      </w:r>
      <w:r w:rsidR="004C030E" w:rsidRPr="00853779">
        <w:rPr>
          <w:rFonts w:ascii="Times New Roman" w:hAnsi="Times New Roman" w:cs="Times New Roman"/>
          <w:sz w:val="24"/>
          <w:szCs w:val="24"/>
        </w:rPr>
        <w:t xml:space="preserve"> Çok ağır </w:t>
      </w:r>
      <w:proofErr w:type="gramStart"/>
      <w:r w:rsidR="004C030E" w:rsidRPr="00853779">
        <w:rPr>
          <w:rFonts w:ascii="Times New Roman" w:hAnsi="Times New Roman" w:cs="Times New Roman"/>
          <w:sz w:val="24"/>
          <w:szCs w:val="24"/>
        </w:rPr>
        <w:t>enfeksiyonlarda</w:t>
      </w:r>
      <w:proofErr w:type="gramEnd"/>
      <w:r w:rsidR="004C030E" w:rsidRPr="00853779">
        <w:rPr>
          <w:rFonts w:ascii="Times New Roman" w:hAnsi="Times New Roman" w:cs="Times New Roman"/>
          <w:sz w:val="24"/>
          <w:szCs w:val="24"/>
        </w:rPr>
        <w:t xml:space="preserve"> 6 saatte bir 30mg/kg* uygulanır.</w:t>
      </w:r>
    </w:p>
    <w:p w:rsidR="00EC68C2" w:rsidRPr="00853779" w:rsidRDefault="00EC68C2" w:rsidP="00F35099">
      <w:pPr>
        <w:pStyle w:val="ListeParagraf"/>
        <w:numPr>
          <w:ilvl w:val="0"/>
          <w:numId w:val="5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3 ay veya 4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kg’ın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altındaki çocuklarda</w:t>
      </w:r>
      <w:r w:rsidR="002B2ABA" w:rsidRPr="00853779">
        <w:rPr>
          <w:rFonts w:ascii="Times New Roman" w:eastAsia="Times New Roman" w:hAnsi="Times New Roman" w:cs="Times New Roman"/>
          <w:kern w:val="32"/>
          <w:sz w:val="24"/>
          <w:lang w:eastAsia="tr-TR"/>
        </w:rPr>
        <w:t xml:space="preserve"> </w:t>
      </w:r>
      <w:r w:rsidR="00485222" w:rsidRPr="00853779">
        <w:rPr>
          <w:rFonts w:ascii="Times New Roman" w:eastAsia="Times New Roman" w:hAnsi="Times New Roman" w:cs="Times New Roman"/>
          <w:kern w:val="32"/>
          <w:sz w:val="24"/>
          <w:lang w:eastAsia="tr-TR"/>
        </w:rPr>
        <w:t xml:space="preserve">tavsiye edilen doz </w:t>
      </w:r>
      <w:r w:rsidR="002B2ABA" w:rsidRPr="00853779">
        <w:rPr>
          <w:rFonts w:ascii="Times New Roman" w:hAnsi="Times New Roman" w:cs="Times New Roman"/>
          <w:sz w:val="24"/>
          <w:szCs w:val="24"/>
        </w:rPr>
        <w:t>12 saatte bir 30mg/kg*</w:t>
      </w:r>
      <w:r w:rsidR="00485222" w:rsidRPr="00853779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="00485222" w:rsidRPr="00853779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="00485222" w:rsidRPr="00853779">
        <w:rPr>
          <w:rFonts w:ascii="Times New Roman" w:hAnsi="Times New Roman" w:cs="Times New Roman"/>
          <w:sz w:val="24"/>
          <w:szCs w:val="24"/>
        </w:rPr>
        <w:t>.</w:t>
      </w:r>
      <w:r w:rsidR="004C030E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0E" w:rsidRPr="00853779">
        <w:rPr>
          <w:rFonts w:ascii="Times New Roman" w:hAnsi="Times New Roman" w:cs="Times New Roman"/>
          <w:sz w:val="24"/>
          <w:szCs w:val="24"/>
        </w:rPr>
        <w:t>Perinatal</w:t>
      </w:r>
      <w:proofErr w:type="spellEnd"/>
      <w:r w:rsidR="004C030E" w:rsidRPr="00853779">
        <w:rPr>
          <w:rFonts w:ascii="Times New Roman" w:hAnsi="Times New Roman" w:cs="Times New Roman"/>
          <w:sz w:val="24"/>
          <w:szCs w:val="24"/>
        </w:rPr>
        <w:t xml:space="preserve"> bebeklerde bu doz daha sonra 8 saatte bir 30mg/kg* olarak artırılır.</w:t>
      </w:r>
    </w:p>
    <w:p w:rsidR="00DF565C" w:rsidRPr="00853779" w:rsidRDefault="00DF565C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*: </w:t>
      </w:r>
      <w:r w:rsidR="00695AA1" w:rsidRPr="00853779">
        <w:rPr>
          <w:rFonts w:ascii="Times New Roman" w:hAnsi="Times New Roman" w:cs="Times New Roman"/>
          <w:sz w:val="24"/>
          <w:szCs w:val="24"/>
        </w:rPr>
        <w:t xml:space="preserve">30 mg AMOKLAVİN, 25 mg </w:t>
      </w:r>
      <w:proofErr w:type="spellStart"/>
      <w:r w:rsidR="00695AA1"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="00695AA1" w:rsidRPr="00853779">
        <w:rPr>
          <w:rFonts w:ascii="Times New Roman" w:hAnsi="Times New Roman" w:cs="Times New Roman"/>
          <w:sz w:val="24"/>
          <w:szCs w:val="24"/>
        </w:rPr>
        <w:t xml:space="preserve"> ve 5 mg </w:t>
      </w:r>
      <w:proofErr w:type="spellStart"/>
      <w:r w:rsidR="00695AA1"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="00695AA1" w:rsidRPr="00853779">
        <w:rPr>
          <w:rFonts w:ascii="Times New Roman" w:hAnsi="Times New Roman" w:cs="Times New Roman"/>
          <w:sz w:val="24"/>
          <w:szCs w:val="24"/>
        </w:rPr>
        <w:t xml:space="preserve"> asit içerir.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853779" w:rsidRDefault="00BE6FE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853779" w:rsidRDefault="00A657C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Herhangi bir doz ayarlamasına gerek yoktur.</w:t>
      </w:r>
    </w:p>
    <w:p w:rsidR="00A657C8" w:rsidRPr="00853779" w:rsidRDefault="00A657C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4033D4" w:rsidRPr="00853779" w:rsidRDefault="00EA406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Penisilin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sefalosporinler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gibi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antibiyotiklerine aşırı duyarlılık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olanlarda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EA4069" w:rsidRPr="00853779" w:rsidRDefault="00EA406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Geçmişinde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veya penisilin tedavisine bağlı sarılık/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yetmezlik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olan hastalarda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EA4069" w:rsidRPr="00853779" w:rsidRDefault="00EA406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ile tedavi başlanılmadan önce geçmişte penisilin,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sefalosporin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allerjenlere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karşı aşırı duyarlılık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varlığı dikkatlice sorgulanmalıdır.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Penisilin tedavisindeki hastalarda ciddi ve bazen öldürücü aşırı duyarlılık 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anafilaktoid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) reaksiyonları rapor edilmiştir. Bu reaksiyonların geçmişinde penisiline aşırı duyarlılık hikayesi olan bireylerde görülmesi daha olasıdır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Ciddi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reaksiyonlar hemen adrenalin ile acil tedavi gerektirir. Ayrıca oksijen,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tüp takmayı içeren hava yolu müdahalesi de gerekebilir.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kullanımını takiben görülen kızamık benzeri döküntü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mononükleoz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ilişkili bulunduğundan, eğer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mononükleoza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ilişkin bir şüphe var ise AMOKLAVİN tedavisinden kaçınılmalıdır.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Uzun süreli kullanım zamanla duyarlı olmayan organizmaların aşırı çoğalmasına neden olabilir.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uygulanan bazı hastalarda kanama süresinde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zamanında uzama (INR değerinde yükselme) bildirilmiştir.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birlikte reçete edildiğinde uygun şekilde izlenmesi gerekir. İstenilen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antikoagülasyon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düzeyini sürdürebilmek için oral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antikoagülan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dozunda ayarlama yapılması gerekebilir.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Karaciğer fonksiyon testlerinde değişiklikler gözlenmiştir. Bunun klinik önemi bilinmemektedir. AMOKLAVİN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yetmezliği olanlarda dikkatli kullanılmalıdır.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Seyrek olarak şiddetli olabilen, genellikle geriye dönüşlü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sarılık bildirilmiştir. Tedavinin kesilmesinden 6 hafta kadar sonra bulgu ve belirtiler kaybolabilir.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Böbrek yetmezliği olanlarda dozaj, böbrek yetmezliğinin derecesine göre ayarlanmalıdır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Çıkan idrar miktarı azalmış hastalarda, özellikle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tedavide çok seyrek olarak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kristalüri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görülmüştür. Yüksek doz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tedavisi sırasında,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kristalürisi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olasılığını azaltmak için uygun miktarda sıvı alınması ve </w:t>
      </w:r>
      <w:r w:rsidRPr="00853779">
        <w:rPr>
          <w:rFonts w:ascii="Times New Roman" w:hAnsi="Times New Roman" w:cs="Times New Roman"/>
          <w:iCs/>
          <w:sz w:val="24"/>
          <w:szCs w:val="24"/>
        </w:rPr>
        <w:t>idrar</w:t>
      </w:r>
      <w:r w:rsidRPr="008537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miktarının düzenlenmesi tavsiye edilir. Mesane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kateteri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bulunan hastalarda,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kateterin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açık olup olmadığı düzenli olarak kontrol edilmelidir.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etkin maddelerde antibiyotikle bağlantılı kolit bildirilmiştir ve şiddeti hafiften yaşamı tehdit edecek kadar ağıra kadar değişebilmektedir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). Dolayısıyla, herhangi bir antibiyotik uygulaması sırasında ya da sonrasında ishal gelişen hastalarda bu tanının dikkate alınması önemlidir. Antibiyotikle bağlantılı kolit oluştuğunda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derhal kesilmeli, bir hekime danışılmalı ve uygun tedaviye başlanılmalıdır. Bu durumda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antiperistaltik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ilaçlar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Amoksisilinle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tedavi sırasında idrarda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glukozun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arandığı testler yapıldığında,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yöntemleri kullanılmalıdır, çünkü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olmayan yöntemlerde yalancı pozitif sonuçlar görülebilir.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AMOKLAVİN'deki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albüminin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biçimde alyuvar zarına bağlanmasına neden olarak,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Coombs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testinde yanlış pozitif bir sonuca yol açabilir.</w:t>
      </w:r>
    </w:p>
    <w:p w:rsidR="009575BE" w:rsidRPr="00853779" w:rsidRDefault="009575B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BE" w:rsidRPr="00853779" w:rsidRDefault="009575B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her bir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flakonunda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62.9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mg (2.7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) sodyum içermektedir. Bu durum, kontrollü sodyum diyetinde olan hastalar için göz önünde bulundurulmalıdır.</w:t>
      </w:r>
    </w:p>
    <w:p w:rsidR="009575BE" w:rsidRPr="00853779" w:rsidRDefault="009575B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75BE" w:rsidRPr="00853779" w:rsidRDefault="009575BE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her bir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flakonunda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39.3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mg (</w:t>
      </w:r>
      <w:r w:rsidR="0062184D" w:rsidRPr="00853779">
        <w:rPr>
          <w:rFonts w:ascii="Times New Roman" w:hAnsi="Times New Roman" w:cs="Times New Roman"/>
          <w:sz w:val="24"/>
          <w:szCs w:val="24"/>
        </w:rPr>
        <w:t xml:space="preserve">1.0 </w:t>
      </w:r>
      <w:proofErr w:type="spellStart"/>
      <w:r w:rsidR="0062184D" w:rsidRPr="0085377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62184D" w:rsidRPr="00853779">
        <w:rPr>
          <w:rFonts w:ascii="Times New Roman" w:hAnsi="Times New Roman" w:cs="Times New Roman"/>
          <w:sz w:val="24"/>
          <w:szCs w:val="24"/>
        </w:rPr>
        <w:t>) potasyum içermektedir. Bu durum, böbrek fonksiyonlarında azalma olan hastalarda ya da kontrollü potasyum diyetinde olan hastalar için göz önünde bulundurulmalıdır.</w:t>
      </w:r>
    </w:p>
    <w:p w:rsidR="003F7320" w:rsidRPr="00853779" w:rsidRDefault="003F73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A862D3" w:rsidRPr="00853779" w:rsidRDefault="00A862D3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 xml:space="preserve">Oral </w:t>
      </w: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antikoagülanlar</w:t>
      </w:r>
      <w:proofErr w:type="spellEnd"/>
    </w:p>
    <w:p w:rsidR="00A862D3" w:rsidRPr="00853779" w:rsidRDefault="00A862D3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Uygulamada, oral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penisilin antibiyotikler, herhangi bir etkileşim bildirimi olmaksızın yaygın şekilde kullanılmaktadır. Buna karşılık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literatürde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asenokumarol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almakta olan ve bir kür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reçetelenmiş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hastalarda uluslararası normalleştirilmiş oranda artış vakaları vardır. Birlikte uygulanmaları zorunlu olduğunda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zamanı ya da uluslararası normalleştirilmiş oran dikkatle izlenerek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eklenmeli ya da kesilmelidir. Ayrıca, oral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antikoagülanların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dozunda ayarlama yapılması da gerekebilir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ve 4.8).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29BD" w:rsidRPr="00853779" w:rsidRDefault="00D429B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Metotreksat</w:t>
      </w:r>
      <w:proofErr w:type="spellEnd"/>
    </w:p>
    <w:p w:rsidR="00D429BD" w:rsidRPr="00853779" w:rsidRDefault="00D429B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Penisilinler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metotreksatın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atılımını azaltabilir ve bu 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toksisitede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potansiyel bir artışa neden olur.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Probenesid</w:t>
      </w:r>
      <w:proofErr w:type="spellEnd"/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birlikte kullanım önerilmemektedir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azaltır.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Probenesidin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birlikte kullanımı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kan seviyelerinde artmaya ve uzamaya neden olabilir,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klavulanatı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ise etkilemez.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Allopurinol</w:t>
      </w:r>
      <w:proofErr w:type="spellEnd"/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tedavisi esnasında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allopurinol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kullanımı alerjik cilt reaksiyonları olasılığını artırabilir.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Allopurinol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birlikte kullanımına ait veri yoktur.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853779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ilişkin ek bilgiler</w:t>
      </w:r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Veri bulunmamaktadır.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Pediyatrik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</w:p>
    <w:p w:rsidR="005F7420" w:rsidRPr="00853779" w:rsidRDefault="005F742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Veri bulunmamaktadır.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B’dir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Çocuk doğurma potansiyeli bulunan kadınlar/ Doğum kontrolü (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>)</w:t>
      </w: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Sınırlı sayıda gebelikte maruz kalma olgularına ilişkin veriler,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gebelik üzerinde ya 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fetusun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/yeni doğan çocuğun sağlığı üzerinde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etkileri olduğunu göstermemektedir.  Bugüne kadar herhangi önemli bir epidemiyolojik veri elde edilmemiştir. Hayvanlar üzerinde yapılan çalışmalar, gebelik/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gelişim/doğum ya da doğum sonrası gelişim ile ilgili olarak doğrudan ya da zararlı etkiler olduğunu göstermemekledir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449" w:rsidRPr="00853779" w:rsidRDefault="0012044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Oral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yolla verildiği hayvanlar (fare ve sıçanlara insanlarda uygulanan dozun 10 katı dozda) üzerinde yapılan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reprodüktif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çalışmalarda, AMOKLAVİN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 göstermemiştir.</w:t>
      </w:r>
    </w:p>
    <w:p w:rsidR="00906680" w:rsidRPr="00853779" w:rsidRDefault="0090668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Preterm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yırtılması olan kadınlarda yapılan bir çalışmada,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kullanımının yeni doğanlarda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nekroze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enterokolit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riskinin artması ile ilişkili olabileceği bildirilmiştir. Tüm ilaçlarda olduğu gibi, doktor tarafından gerekli görülmedikçe gebelik esnasında özelikle gebeliğin ilk üç ayında kullanılmamalıdır.</w:t>
      </w:r>
    </w:p>
    <w:p w:rsidR="00E86126" w:rsidRPr="00853779" w:rsidRDefault="00E8612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iki etkin maddesi de anne sütüne geçer 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anne sütü alan süt çocukları üzerindeki etkisi ile ilgili herhangi bir bilgi yoktur). Dolayısıyla anne sütüyle beslenen süt çocuklarında ishal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mukoz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membranlarda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mantar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olasılığı vardır, bu nedenle emzirmenin kesilmesi gerekebilir. Emzirme döneminde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sadece tedaviyi uygulayan hekimin fayda/risk değerlend</w:t>
      </w:r>
      <w:r w:rsidR="00E86126" w:rsidRPr="00853779">
        <w:rPr>
          <w:rFonts w:ascii="Times New Roman" w:hAnsi="Times New Roman" w:cs="Times New Roman"/>
          <w:sz w:val="24"/>
          <w:szCs w:val="24"/>
        </w:rPr>
        <w:t>irmesinden sonra kullanmalıdır.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DC32D5" w:rsidRPr="00853779" w:rsidRDefault="00DC32D5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Veri bulunmamaktadır.</w:t>
      </w:r>
    </w:p>
    <w:p w:rsidR="00120449" w:rsidRPr="00853779" w:rsidRDefault="00120449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EF7F5A" w:rsidRPr="00853779" w:rsidRDefault="00EF7F5A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araç ve makine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kullanımı üzerindeki etkileriyle ilgili bir çalışma gerçekleştirilmemiştir. Ancak, hastalar araç ve makine kullanımını etkileyebilecek istenmeyen etkiler (örn. alerjik reaksiyonlar, sersemlik hali,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konvülsiyonlar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) oluşabileceği ile ilgili bilgilendirilmelidirler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4.8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7F5A" w:rsidRPr="00853779" w:rsidRDefault="00EF7F5A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EF7F5A" w:rsidRPr="00853779" w:rsidRDefault="00EF7F5A" w:rsidP="00F35099">
      <w:pPr>
        <w:shd w:val="clear" w:color="auto" w:fill="FFFFFF"/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Çok yaygın görülenlerden seyrek görülenlere kadar, istenmeyen etkilerin görülme sıklığını saptamak için geniş çaplı klinik çalışmaların verileri kullanılmıştır. Diğer istenmeyen etkilere (&lt;1/10.000) ait sıklıklar pazarlama sonrası verilere göre saptanmıştır ve gerçek bir sıklıktan çok raporlama oranına dayanmaktadır.</w:t>
      </w:r>
    </w:p>
    <w:p w:rsidR="00EF7F5A" w:rsidRPr="00853779" w:rsidRDefault="00EF7F5A" w:rsidP="00F350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Sıklık sınıflandırması aşağıdaki gibidir:</w:t>
      </w:r>
    </w:p>
    <w:p w:rsidR="00EF7F5A" w:rsidRPr="00853779" w:rsidRDefault="00EF7F5A" w:rsidP="00F35099">
      <w:pPr>
        <w:shd w:val="clear" w:color="auto" w:fill="FFFFFF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Çok yaygın</w:t>
      </w:r>
      <w:r w:rsidRPr="00853779">
        <w:rPr>
          <w:rFonts w:ascii="Times New Roman" w:hAnsi="Times New Roman" w:cs="Times New Roman"/>
          <w:sz w:val="24"/>
          <w:szCs w:val="24"/>
        </w:rPr>
        <w:tab/>
        <w:t>: ≥1/10</w:t>
      </w:r>
    </w:p>
    <w:p w:rsidR="00EF7F5A" w:rsidRPr="00853779" w:rsidRDefault="00EF7F5A" w:rsidP="00F35099">
      <w:pPr>
        <w:shd w:val="clear" w:color="auto" w:fill="FFFFFF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Yaygın</w:t>
      </w:r>
      <w:r w:rsidRPr="00853779">
        <w:rPr>
          <w:rFonts w:ascii="Times New Roman" w:hAnsi="Times New Roman" w:cs="Times New Roman"/>
          <w:sz w:val="24"/>
          <w:szCs w:val="24"/>
        </w:rPr>
        <w:tab/>
        <w:t>: ≥1/100 ve ≤1/10</w:t>
      </w:r>
    </w:p>
    <w:p w:rsidR="00EF7F5A" w:rsidRPr="00853779" w:rsidRDefault="00EF7F5A" w:rsidP="00F35099">
      <w:pPr>
        <w:shd w:val="clear" w:color="auto" w:fill="FFFFFF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Yaygın olmayan</w:t>
      </w:r>
      <w:r w:rsidRPr="00853779">
        <w:rPr>
          <w:rFonts w:ascii="Times New Roman" w:hAnsi="Times New Roman" w:cs="Times New Roman"/>
          <w:sz w:val="24"/>
          <w:szCs w:val="24"/>
        </w:rPr>
        <w:tab/>
        <w:t>: ≥1000 ve ≤1/100</w:t>
      </w:r>
    </w:p>
    <w:p w:rsidR="00EF7F5A" w:rsidRPr="00853779" w:rsidRDefault="00EF7F5A" w:rsidP="00F35099">
      <w:pPr>
        <w:shd w:val="clear" w:color="auto" w:fill="FFFFFF"/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Seyrek</w:t>
      </w:r>
      <w:r w:rsidRPr="00853779">
        <w:rPr>
          <w:rFonts w:ascii="Times New Roman" w:hAnsi="Times New Roman" w:cs="Times New Roman"/>
          <w:sz w:val="24"/>
          <w:szCs w:val="24"/>
        </w:rPr>
        <w:tab/>
        <w:t>: ≥1/10.000 ve ≤1/1000</w:t>
      </w:r>
    </w:p>
    <w:p w:rsidR="00EF7F5A" w:rsidRPr="00853779" w:rsidRDefault="00EF7F5A" w:rsidP="00F35099">
      <w:pPr>
        <w:shd w:val="clear" w:color="auto" w:fill="FFFFFF"/>
        <w:tabs>
          <w:tab w:val="left" w:pos="1843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Çok seyrek</w:t>
      </w:r>
      <w:r w:rsidRPr="00853779">
        <w:rPr>
          <w:rFonts w:ascii="Times New Roman" w:hAnsi="Times New Roman" w:cs="Times New Roman"/>
          <w:sz w:val="24"/>
          <w:szCs w:val="24"/>
        </w:rPr>
        <w:tab/>
        <w:t>: ≤1/10.000</w:t>
      </w:r>
    </w:p>
    <w:p w:rsidR="006E774D" w:rsidRPr="00853779" w:rsidRDefault="006E774D" w:rsidP="00F35099">
      <w:pPr>
        <w:shd w:val="clear" w:color="auto" w:fill="FFFFFF"/>
        <w:tabs>
          <w:tab w:val="left" w:pos="1843"/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Pr="00853779">
        <w:rPr>
          <w:rFonts w:ascii="Times New Roman" w:hAnsi="Times New Roman" w:cs="Times New Roman"/>
          <w:sz w:val="24"/>
          <w:szCs w:val="24"/>
        </w:rPr>
        <w:tab/>
        <w:t>(eldeki verilerden hareketle tahmin edilemiyor)</w:t>
      </w:r>
    </w:p>
    <w:p w:rsidR="00D56088" w:rsidRPr="00853779" w:rsidRDefault="00D56088" w:rsidP="00F350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F5A" w:rsidRPr="00853779" w:rsidRDefault="00EF7F5A" w:rsidP="00F350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enfestasyonlar</w:t>
      </w:r>
      <w:proofErr w:type="spellEnd"/>
      <w:r w:rsidR="00EB1627"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Yaygın: </w:t>
      </w:r>
      <w:r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Mukokutanöz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kandidiyazis</w:t>
      </w:r>
      <w:proofErr w:type="spellEnd"/>
    </w:p>
    <w:p w:rsidR="00EF7F5A" w:rsidRPr="00853779" w:rsidRDefault="00EF7F5A" w:rsidP="00F35099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 xml:space="preserve">Kan </w:t>
      </w:r>
      <w:r w:rsidRPr="00853779">
        <w:rPr>
          <w:rFonts w:ascii="Times New Roman" w:hAnsi="Times New Roman" w:cs="Times New Roman"/>
          <w:b/>
          <w:iCs/>
          <w:sz w:val="24"/>
          <w:szCs w:val="24"/>
        </w:rPr>
        <w:t>ve</w:t>
      </w:r>
      <w:r w:rsidRPr="0085377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b/>
          <w:sz w:val="24"/>
          <w:szCs w:val="24"/>
        </w:rPr>
        <w:t>lenf sistemi hastalıkları</w:t>
      </w:r>
      <w:r w:rsidR="00EB1627"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pacing w:val="-6"/>
          <w:sz w:val="24"/>
          <w:szCs w:val="24"/>
        </w:rPr>
        <w:t xml:space="preserve">Seyrek: </w:t>
      </w:r>
      <w:r w:rsidRPr="0085377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853779">
        <w:rPr>
          <w:rFonts w:ascii="Times New Roman" w:hAnsi="Times New Roman" w:cs="Times New Roman"/>
          <w:iCs/>
          <w:sz w:val="24"/>
          <w:szCs w:val="24"/>
        </w:rPr>
        <w:t>Geri</w:t>
      </w:r>
      <w:r w:rsidRPr="008537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dönebilen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EF7F5A" w:rsidRPr="00853779" w:rsidRDefault="006E774D" w:rsidP="00F35099">
      <w:pPr>
        <w:shd w:val="clear" w:color="auto" w:fill="FFFFFF"/>
        <w:tabs>
          <w:tab w:val="left" w:pos="2268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pacing w:val="-2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EF7F5A" w:rsidRPr="0085377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EF7F5A" w:rsidRPr="00853779">
        <w:rPr>
          <w:rFonts w:ascii="Times New Roman" w:hAnsi="Times New Roman" w:cs="Times New Roman"/>
          <w:iCs/>
          <w:sz w:val="24"/>
          <w:szCs w:val="24"/>
        </w:rPr>
        <w:t xml:space="preserve">Geri 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dönebilen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anemi. Kanama ve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zamanında uzama (bkz. </w:t>
      </w:r>
      <w:r w:rsidRPr="00853779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="00EF7F5A" w:rsidRPr="00853779">
        <w:rPr>
          <w:rFonts w:ascii="Times New Roman" w:hAnsi="Times New Roman" w:cs="Times New Roman"/>
          <w:sz w:val="24"/>
          <w:szCs w:val="24"/>
        </w:rPr>
        <w:t>).</w:t>
      </w:r>
    </w:p>
    <w:p w:rsidR="00EF7F5A" w:rsidRPr="00853779" w:rsidRDefault="00EF7F5A" w:rsidP="00F350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  <w:r w:rsidR="00EB1627"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EB1627" w:rsidP="00F35099">
      <w:pPr>
        <w:shd w:val="clear" w:color="auto" w:fill="FFFFFF"/>
        <w:tabs>
          <w:tab w:val="left" w:pos="2268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: 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ödem, anafilaksi, serum hastalığı benzeri </w:t>
      </w:r>
      <w:proofErr w:type="gramStart"/>
      <w:r w:rsidR="00EF7F5A" w:rsidRPr="00853779">
        <w:rPr>
          <w:rFonts w:ascii="Times New Roman" w:hAnsi="Times New Roman" w:cs="Times New Roman"/>
          <w:sz w:val="24"/>
          <w:szCs w:val="24"/>
        </w:rPr>
        <w:t>sendrom</w:t>
      </w:r>
      <w:proofErr w:type="gram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, aşırı duyarlılık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vasküliti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>.</w:t>
      </w:r>
    </w:p>
    <w:p w:rsidR="00EF7F5A" w:rsidRPr="00853779" w:rsidRDefault="00EB1627" w:rsidP="00F350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Sinir sistemi hastalıkları</w:t>
      </w:r>
      <w:r w:rsidR="00EF7F5A"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779">
        <w:rPr>
          <w:rFonts w:ascii="Times New Roman" w:hAnsi="Times New Roman" w:cs="Times New Roman"/>
          <w:sz w:val="24"/>
          <w:szCs w:val="24"/>
        </w:rPr>
        <w:t>Yaygın olmayan:</w:t>
      </w:r>
      <w:r w:rsidR="00EB1627" w:rsidRPr="00853779">
        <w:rPr>
          <w:rFonts w:ascii="Times New Roman" w:hAnsi="Times New Roman" w:cs="Times New Roman"/>
          <w:sz w:val="24"/>
          <w:szCs w:val="24"/>
        </w:rPr>
        <w:tab/>
      </w:r>
      <w:r w:rsidRPr="00853779">
        <w:rPr>
          <w:rFonts w:ascii="Times New Roman" w:hAnsi="Times New Roman" w:cs="Times New Roman"/>
          <w:sz w:val="24"/>
          <w:szCs w:val="24"/>
        </w:rPr>
        <w:t>Baş dönmesi, baş ağrısı.</w:t>
      </w:r>
      <w:proofErr w:type="gramEnd"/>
    </w:p>
    <w:p w:rsidR="00EF7F5A" w:rsidRPr="00853779" w:rsidRDefault="00EB1627" w:rsidP="00F35099">
      <w:pPr>
        <w:shd w:val="clear" w:color="auto" w:fill="FFFFFF"/>
        <w:tabs>
          <w:tab w:val="left" w:pos="2268"/>
        </w:tabs>
        <w:spacing w:after="0"/>
        <w:ind w:left="2268" w:right="43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: 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Konvülziyonlar</w:t>
      </w:r>
      <w:proofErr w:type="spellEnd"/>
      <w:r w:rsidR="004D31BF" w:rsidRPr="00853779">
        <w:rPr>
          <w:rFonts w:ascii="Times New Roman" w:hAnsi="Times New Roman" w:cs="Times New Roman"/>
          <w:sz w:val="24"/>
          <w:szCs w:val="24"/>
        </w:rPr>
        <w:t xml:space="preserve"> (böbrek fonksiyon bozukluğu olanlar veya yüksek doz uygulananlarda görülebilir).</w:t>
      </w:r>
    </w:p>
    <w:p w:rsidR="000769D6" w:rsidRPr="00853779" w:rsidRDefault="000769D6" w:rsidP="00F35099">
      <w:pPr>
        <w:shd w:val="clear" w:color="auto" w:fill="FFFFFF"/>
        <w:tabs>
          <w:tab w:val="left" w:pos="2268"/>
        </w:tabs>
        <w:spacing w:after="0"/>
        <w:ind w:left="2268" w:right="43" w:hanging="22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Vasküler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hastalıklar:</w:t>
      </w:r>
    </w:p>
    <w:p w:rsidR="000769D6" w:rsidRPr="00853779" w:rsidRDefault="000769D6" w:rsidP="00F35099">
      <w:pPr>
        <w:shd w:val="clear" w:color="auto" w:fill="FFFFFF"/>
        <w:tabs>
          <w:tab w:val="left" w:pos="2268"/>
        </w:tabs>
        <w:spacing w:after="0"/>
        <w:ind w:left="2268" w:right="43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Bilinmiyor:</w:t>
      </w:r>
      <w:r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Kollaps</w:t>
      </w:r>
      <w:proofErr w:type="spellEnd"/>
    </w:p>
    <w:p w:rsidR="00EF7F5A" w:rsidRPr="00853779" w:rsidRDefault="00EF7F5A" w:rsidP="00F35099">
      <w:pPr>
        <w:shd w:val="clear" w:color="auto" w:fill="FFFFFF"/>
        <w:spacing w:after="0"/>
        <w:ind w:left="6" w:right="4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hastalıklar</w:t>
      </w:r>
      <w:r w:rsidR="008D5699"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8D5699" w:rsidP="00F35099">
      <w:pPr>
        <w:shd w:val="clear" w:color="auto" w:fill="FFFFFF"/>
        <w:tabs>
          <w:tab w:val="left" w:pos="2268"/>
        </w:tabs>
        <w:spacing w:after="0"/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Ya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ygın: 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Yaygın</w:t>
      </w:r>
      <w:r w:rsidR="008D5699" w:rsidRPr="00853779">
        <w:rPr>
          <w:rFonts w:ascii="Times New Roman" w:hAnsi="Times New Roman" w:cs="Times New Roman"/>
          <w:sz w:val="24"/>
          <w:szCs w:val="24"/>
        </w:rPr>
        <w:t xml:space="preserve"> olmayan</w:t>
      </w:r>
      <w:r w:rsidRPr="00853779">
        <w:rPr>
          <w:rFonts w:ascii="Times New Roman" w:hAnsi="Times New Roman" w:cs="Times New Roman"/>
          <w:sz w:val="24"/>
          <w:szCs w:val="24"/>
        </w:rPr>
        <w:t xml:space="preserve">: </w:t>
      </w:r>
      <w:r w:rsidRPr="00853779">
        <w:rPr>
          <w:rFonts w:ascii="Times New Roman" w:hAnsi="Times New Roman" w:cs="Times New Roman"/>
          <w:sz w:val="24"/>
          <w:szCs w:val="24"/>
        </w:rPr>
        <w:tab/>
        <w:t>Bulantı, kusma</w:t>
      </w:r>
      <w:r w:rsidR="008D5699" w:rsidRPr="00853779">
        <w:rPr>
          <w:rFonts w:ascii="Times New Roman" w:hAnsi="Times New Roman" w:cs="Times New Roman"/>
          <w:sz w:val="24"/>
          <w:szCs w:val="24"/>
        </w:rPr>
        <w:t>, s</w:t>
      </w:r>
      <w:r w:rsidRPr="00853779">
        <w:rPr>
          <w:rFonts w:ascii="Times New Roman" w:hAnsi="Times New Roman" w:cs="Times New Roman"/>
          <w:sz w:val="24"/>
          <w:szCs w:val="24"/>
        </w:rPr>
        <w:t>indirim güçlüğü.</w:t>
      </w:r>
    </w:p>
    <w:p w:rsidR="00EF7F5A" w:rsidRPr="00853779" w:rsidRDefault="008D5699" w:rsidP="00F35099">
      <w:pPr>
        <w:shd w:val="clear" w:color="auto" w:fill="FFFFFF"/>
        <w:tabs>
          <w:tab w:val="left" w:pos="2268"/>
        </w:tabs>
        <w:spacing w:after="0"/>
        <w:ind w:left="2268" w:right="45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: 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  <w:t>Antibiyotiğe bağlı kolit (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psödomebranöz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kolit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hemorajik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kolit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</w:t>
      </w:r>
    </w:p>
    <w:p w:rsidR="00EF7F5A" w:rsidRPr="00853779" w:rsidRDefault="008D5699" w:rsidP="00F35099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bilier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hastalıklar</w:t>
      </w:r>
      <w:r w:rsidR="00EF7F5A"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ind w:left="2268" w:right="43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Pr="00853779">
        <w:rPr>
          <w:rFonts w:ascii="Times New Roman" w:hAnsi="Times New Roman" w:cs="Times New Roman"/>
          <w:sz w:val="24"/>
          <w:szCs w:val="24"/>
        </w:rPr>
        <w:tab/>
        <w:t>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antibiyotikler ile tedavi edilen hastalarda AST ve/veya ALT değerlerinde orta derecede artış görülür; fakat bunun önemi bilinmemektedir.</w:t>
      </w:r>
    </w:p>
    <w:p w:rsidR="00EF7F5A" w:rsidRPr="00853779" w:rsidRDefault="008D5699" w:rsidP="00F35099">
      <w:pPr>
        <w:shd w:val="clear" w:color="auto" w:fill="FFFFFF"/>
        <w:tabs>
          <w:tab w:val="left" w:pos="2268"/>
        </w:tabs>
        <w:spacing w:after="0"/>
        <w:ind w:left="2268" w:right="45" w:hanging="2262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z w:val="24"/>
          <w:szCs w:val="24"/>
        </w:rPr>
        <w:t>: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  <w:t xml:space="preserve">Hepatit ve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kolestatik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sarılık rapor edilmiştir, bunlar diğer penisilin ve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sefalosporinler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ile de bildirilmiştir.</w:t>
      </w:r>
    </w:p>
    <w:p w:rsidR="00EF7F5A" w:rsidRPr="00853779" w:rsidRDefault="00EF7F5A" w:rsidP="00F35099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olaylar çoğunlukla erkeklerde ve yaşlılarda rapor edilmiştir ve uzun süreli kullanım ile ilişkili olabilir. Bu olaylar çocuklarda nadir olarak rapor edilmiştir. Belirti ve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genellikle tedavi sırasında veya tedavi kesildikten kısa bir süre sonra görülür, ancak bazı durumlarda tedavi kesildikten birkaç hafta sonrasına kadar fark edilmeyebilir. Bunlar genellikle geri dönüşümlüdür.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olaylar şiddetli olabilir ve son derece seyrek olarak ölüm rapor edilmiştir. Bunlar hemen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her zaman altta yatan ciddi bir hastalığı olan ya da aynı anda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yan etki potansiyeline sahip ilaçları alan hastalarda görülmüştür. </w:t>
      </w:r>
    </w:p>
    <w:p w:rsidR="00EF7F5A" w:rsidRPr="00853779" w:rsidRDefault="00EF7F5A" w:rsidP="00F3509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Deri</w:t>
      </w:r>
      <w:r w:rsidR="000F3C9E" w:rsidRPr="00853779">
        <w:rPr>
          <w:rFonts w:ascii="Times New Roman" w:hAnsi="Times New Roman" w:cs="Times New Roman"/>
          <w:b/>
          <w:sz w:val="24"/>
          <w:szCs w:val="24"/>
        </w:rPr>
        <w:t xml:space="preserve"> ve deri altı doku hastalıkları</w:t>
      </w:r>
      <w:r w:rsidRPr="00853779">
        <w:rPr>
          <w:rFonts w:ascii="Times New Roman" w:hAnsi="Times New Roman" w:cs="Times New Roman"/>
          <w:b/>
          <w:sz w:val="24"/>
          <w:szCs w:val="24"/>
        </w:rPr>
        <w:t>:</w:t>
      </w:r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Yaygın olmayan: </w:t>
      </w:r>
      <w:r w:rsidRPr="00853779">
        <w:rPr>
          <w:rFonts w:ascii="Times New Roman" w:hAnsi="Times New Roman" w:cs="Times New Roman"/>
          <w:sz w:val="24"/>
          <w:szCs w:val="24"/>
        </w:rPr>
        <w:tab/>
        <w:t xml:space="preserve">Ciltte döküntü,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pruritus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, ürtiker.</w:t>
      </w:r>
    </w:p>
    <w:p w:rsidR="00EF7F5A" w:rsidRPr="00853779" w:rsidRDefault="00EF7F5A" w:rsidP="00F35099">
      <w:pPr>
        <w:shd w:val="clear" w:color="auto" w:fill="FFFFFF"/>
        <w:tabs>
          <w:tab w:val="left" w:pos="2268"/>
        </w:tabs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Seyrek:  </w:t>
      </w:r>
      <w:r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EF7F5A" w:rsidRPr="00853779" w:rsidRDefault="000F3C9E" w:rsidP="00F35099">
      <w:pPr>
        <w:shd w:val="clear" w:color="auto" w:fill="FFFFFF"/>
        <w:tabs>
          <w:tab w:val="left" w:pos="2268"/>
        </w:tabs>
        <w:spacing w:after="0"/>
        <w:ind w:left="2262" w:hanging="2251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: 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-Johnson </w:t>
      </w:r>
      <w:proofErr w:type="gramStart"/>
      <w:r w:rsidR="00EF7F5A" w:rsidRPr="00853779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büllöz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döküntülü dermatit ve akut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generalize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ekzantemöz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püstüller (AGEP).</w:t>
      </w:r>
    </w:p>
    <w:p w:rsidR="00EF7F5A" w:rsidRPr="00853779" w:rsidRDefault="00EF7F5A" w:rsidP="00F35099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Eğer herhangi bir aşırı duyarlılık dermatiti görülürse tedavi kesilmelidir.</w:t>
      </w:r>
    </w:p>
    <w:p w:rsidR="00EF7F5A" w:rsidRPr="00853779" w:rsidRDefault="00EF7F5A" w:rsidP="00F35099">
      <w:pPr>
        <w:shd w:val="clear" w:color="auto" w:fill="FFFFFF"/>
        <w:spacing w:after="0"/>
        <w:ind w:lef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 xml:space="preserve">Böbrek ve idrar </w:t>
      </w:r>
      <w:r w:rsidR="00EE02F4" w:rsidRPr="00853779">
        <w:rPr>
          <w:rFonts w:ascii="Times New Roman" w:hAnsi="Times New Roman" w:cs="Times New Roman"/>
          <w:b/>
          <w:sz w:val="24"/>
          <w:szCs w:val="24"/>
        </w:rPr>
        <w:t xml:space="preserve">yolu </w:t>
      </w:r>
      <w:r w:rsidRPr="00853779">
        <w:rPr>
          <w:rFonts w:ascii="Times New Roman" w:hAnsi="Times New Roman" w:cs="Times New Roman"/>
          <w:b/>
          <w:sz w:val="24"/>
          <w:szCs w:val="24"/>
        </w:rPr>
        <w:t>hastalıkları:</w:t>
      </w:r>
    </w:p>
    <w:p w:rsidR="00EF7F5A" w:rsidRPr="00853779" w:rsidRDefault="000F3C9E" w:rsidP="00F35099">
      <w:pPr>
        <w:shd w:val="clear" w:color="auto" w:fill="FFFFFF"/>
        <w:tabs>
          <w:tab w:val="left" w:pos="2268"/>
        </w:tabs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Bilinmiyor</w:t>
      </w:r>
      <w:r w:rsidR="00EF7F5A" w:rsidRPr="00853779">
        <w:rPr>
          <w:rFonts w:ascii="Times New Roman" w:hAnsi="Times New Roman" w:cs="Times New Roman"/>
          <w:sz w:val="24"/>
          <w:szCs w:val="24"/>
        </w:rPr>
        <w:t xml:space="preserve">: </w:t>
      </w:r>
      <w:r w:rsidR="00EF7F5A" w:rsidRPr="008537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İnterstisyel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nefrit, </w:t>
      </w:r>
      <w:proofErr w:type="spellStart"/>
      <w:r w:rsidR="00EF7F5A" w:rsidRPr="00853779">
        <w:rPr>
          <w:rFonts w:ascii="Times New Roman" w:hAnsi="Times New Roman" w:cs="Times New Roman"/>
          <w:sz w:val="24"/>
          <w:szCs w:val="24"/>
        </w:rPr>
        <w:t>kristalüri</w:t>
      </w:r>
      <w:proofErr w:type="spellEnd"/>
      <w:r w:rsidR="00EF7F5A" w:rsidRPr="00853779">
        <w:rPr>
          <w:rFonts w:ascii="Times New Roman" w:hAnsi="Times New Roman" w:cs="Times New Roman"/>
          <w:sz w:val="24"/>
          <w:szCs w:val="24"/>
        </w:rPr>
        <w:t xml:space="preserve"> (bkz. </w:t>
      </w:r>
      <w:r w:rsidRPr="00853779">
        <w:rPr>
          <w:rFonts w:ascii="Times New Roman" w:hAnsi="Times New Roman" w:cs="Times New Roman"/>
          <w:sz w:val="24"/>
          <w:szCs w:val="24"/>
        </w:rPr>
        <w:t xml:space="preserve">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4.9</w:t>
      </w:r>
      <w:proofErr w:type="gramEnd"/>
      <w:r w:rsidR="00EF7F5A" w:rsidRPr="00853779">
        <w:rPr>
          <w:rFonts w:ascii="Times New Roman" w:hAnsi="Times New Roman" w:cs="Times New Roman"/>
          <w:sz w:val="24"/>
          <w:szCs w:val="24"/>
        </w:rPr>
        <w:t>).</w:t>
      </w:r>
    </w:p>
    <w:p w:rsidR="00853779" w:rsidRPr="00811776" w:rsidRDefault="00853779" w:rsidP="00853779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</w:pPr>
      <w:r w:rsidRPr="0081177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Ş</w:t>
      </w:r>
      <w:r w:rsidRPr="0081177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üpheli 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advers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 xml:space="preserve"> reaksiyonlar</w:t>
      </w:r>
      <w:r w:rsidRPr="0081177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u w:val="single"/>
          <w:lang w:eastAsia="nl-NL"/>
        </w:rPr>
        <w:t>n raporlanmas</w:t>
      </w:r>
      <w:r w:rsidRPr="00811776">
        <w:rPr>
          <w:rFonts w:ascii="Times New Roman" w:hAnsi="Times New Roman" w:hint="eastAsia"/>
          <w:color w:val="0070C0"/>
          <w:sz w:val="24"/>
          <w:szCs w:val="24"/>
          <w:u w:val="single"/>
          <w:lang w:eastAsia="nl-NL"/>
        </w:rPr>
        <w:t>ı</w:t>
      </w:r>
    </w:p>
    <w:p w:rsidR="00853779" w:rsidRPr="00811776" w:rsidRDefault="00853779" w:rsidP="00853779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  <w:lang w:eastAsia="nl-NL"/>
        </w:rPr>
      </w:pP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Ruhsatland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rma sonras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ş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üpheli ilaç 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reaksiyonlar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n raporlanmas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büyük önem ta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şı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maktad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r. Raporlama yap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lmas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, ilac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n yarar / risk dengesinin sürekli olarak izlenmesine olanak sa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lar. Sa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l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k mesle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ğ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i mensuplar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n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ı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n herhangi bir </w:t>
      </w:r>
      <w:r w:rsidRPr="00811776">
        <w:rPr>
          <w:rFonts w:ascii="Times New Roman" w:hAnsi="Times New Roman" w:hint="eastAsia"/>
          <w:color w:val="0070C0"/>
          <w:sz w:val="24"/>
          <w:szCs w:val="24"/>
          <w:lang w:eastAsia="nl-NL"/>
        </w:rPr>
        <w:t>şü</w:t>
      </w:r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pheli 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advers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reaksiyonu Türkiye 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Farmakovijilans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 Merkezi (TÜFAM)'ne bildirmeleri gerekmektedir. (www.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titck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 xml:space="preserve">.gov.tr; e-posta: 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tufam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@</w:t>
      </w:r>
      <w:proofErr w:type="spellStart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titck</w:t>
      </w:r>
      <w:proofErr w:type="spellEnd"/>
      <w:r w:rsidRPr="00811776">
        <w:rPr>
          <w:rFonts w:ascii="Times New Roman" w:hAnsi="Times New Roman"/>
          <w:color w:val="0070C0"/>
          <w:sz w:val="24"/>
          <w:szCs w:val="24"/>
          <w:lang w:eastAsia="nl-NL"/>
        </w:rPr>
        <w:t>.gov.tr; tel: 0 800 314 00 08; faks: 0 312 218 35 99)</w:t>
      </w:r>
    </w:p>
    <w:p w:rsidR="00853779" w:rsidRPr="00853779" w:rsidRDefault="00853779" w:rsidP="00F35099">
      <w:pPr>
        <w:shd w:val="clear" w:color="auto" w:fill="FFFFFF"/>
        <w:tabs>
          <w:tab w:val="left" w:pos="2268"/>
        </w:tabs>
        <w:spacing w:after="0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853779" w:rsidRDefault="00BE6FEB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0E43FB" w:rsidRPr="00853779" w:rsidRDefault="000E43F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ve sıvı ve elektrolit dengesinin bozulması görülebilir.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olarak ve su/elektrolit dengesine dikkat edilerek tedavi edilebilir.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bazı olgularda böbrek yetmezliğine yol açan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kristalüri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görülmüştür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4.4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 AMOKLAVİN dolaşımdan hemodiyaliz ile uzaklaştırılabilir.</w:t>
      </w:r>
    </w:p>
    <w:p w:rsidR="000E43FB" w:rsidRPr="00853779" w:rsidRDefault="000E43F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262CC6" w:rsidRPr="00853779" w:rsidRDefault="00947FB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grup: </w:t>
      </w:r>
      <w:r w:rsidR="00262CC6" w:rsidRPr="00853779">
        <w:rPr>
          <w:rFonts w:ascii="Times New Roman" w:hAnsi="Times New Roman" w:cs="Times New Roman"/>
          <w:sz w:val="24"/>
          <w:szCs w:val="24"/>
        </w:rPr>
        <w:t>Penisilin – beta-</w:t>
      </w:r>
      <w:proofErr w:type="spellStart"/>
      <w:r w:rsidR="00262CC6"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="00262CC6" w:rsidRPr="00853779">
        <w:rPr>
          <w:rFonts w:ascii="Times New Roman" w:hAnsi="Times New Roman" w:cs="Times New Roman"/>
          <w:sz w:val="24"/>
          <w:szCs w:val="24"/>
        </w:rPr>
        <w:t xml:space="preserve"> inhibitörü </w:t>
      </w:r>
      <w:proofErr w:type="gramStart"/>
      <w:r w:rsidR="00262CC6" w:rsidRPr="00853779">
        <w:rPr>
          <w:rFonts w:ascii="Times New Roman" w:hAnsi="Times New Roman" w:cs="Times New Roman"/>
          <w:sz w:val="24"/>
          <w:szCs w:val="24"/>
        </w:rPr>
        <w:t>kombinasyonu</w:t>
      </w:r>
      <w:proofErr w:type="gramEnd"/>
    </w:p>
    <w:p w:rsidR="00947FBB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ATC kodu:</w:t>
      </w:r>
      <w:r w:rsidR="00947FBB" w:rsidRPr="00853779">
        <w:rPr>
          <w:rFonts w:ascii="Times New Roman" w:hAnsi="Times New Roman" w:cs="Times New Roman"/>
          <w:sz w:val="24"/>
          <w:szCs w:val="24"/>
        </w:rPr>
        <w:t xml:space="preserve"> J01CR02</w:t>
      </w:r>
    </w:p>
    <w:p w:rsidR="00947FBB" w:rsidRPr="00853779" w:rsidRDefault="00947FB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geniş spektrumlu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yarısentetik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Gram-pozitif ve Gram-negatif mikroorganizmalara karşı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aktiviteye sahip bir antibiyotiktir. Ancak,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tarafından parçalanmaya duyarlı olduğundan tek başına kullanıldığında etki spektrumu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üreten organizmaları içermez.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asit, penisilinlere yapısal olarak benzer bir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olup, penisilin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sefalosporinlere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dirençli mikroorganizmalarda sıklıkla karşılaşılan geniş yelpazedeki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enzimlerini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etme yeteneğine sahiptir. Özellikle direnç gelişiminde etkili olan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plazmid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aracılı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laktamazlara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karşı iyi bir aktiviteye sahiptir. Genel olarak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aracılı tip 1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laktamazlara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karşı etkinliği daha düşüktür.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AMOKLAVİN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formülasyonlarındaki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varlığı,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enzimlerince parçalanmaktan korur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 spektrumunu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penisilin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sefalosporinlere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normalde dirençli olan çok sayıda bakteriyi de içine şekilde genişletir. Böylece AMOKLAVİN geniş spektrumlu bir antibiyotik ve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inhibitörünün özelliklerine sahip olur. AMOKLAVİN geniş bir yelpazedeki organizmalara karşı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etkilidir.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Birçok antibiyotiğe direncin nedeni olan bakteriyel enzimler, antibiyotiği, patojen üzerinde herhangi bir etki gösteremeden harap ederler.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içindeki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enzimlerini bloke ederek savunma mekanizması oluşturur; bu da vücutta hali hazırda elde edilmiş olan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konsantrasyonlarda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, organizmaların,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hızlı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etkisine duyarlı olmasını mümkün kılar.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kendisi küçük bir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etkiye sahiptir. Bununla birlikte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AMOKLAVİN’de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birlikte kullanıldığında genel kullanımda ve hastanede geniş kullanım bulan, geniş spektrumlu bir antibiyotik oluşturur.</w:t>
      </w:r>
    </w:p>
    <w:p w:rsidR="00736911" w:rsidRPr="00853779" w:rsidRDefault="00736911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Farmakodinamik etkiler: </w:t>
      </w: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Organizmalar,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karşı </w:t>
      </w:r>
      <w:r w:rsidRPr="0085377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53779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8537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duyarlılıklarına göre aşağıda kategorize edilmektedir. 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Klinik çalışmalarda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klinik etkililiği kanıtlanmışsa, bu durum bir</w:t>
      </w:r>
      <w:r w:rsidR="00736911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yıldız işareti (*) ile gösterilmektedir. </w:t>
      </w: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üretmeyen organizmalar (†) işareti ile tanımlanmıştır. Bir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izolatın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amoksisiline</w:t>
      </w:r>
      <w:proofErr w:type="spellEnd"/>
      <w:r w:rsidR="00736911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karşı duyarlı olması durumunda,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klavulanata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karşı d</w:t>
      </w:r>
      <w:r w:rsidR="00736911" w:rsidRPr="00853779">
        <w:rPr>
          <w:rFonts w:ascii="Times New Roman" w:hAnsi="Times New Roman" w:cs="Times New Roman"/>
          <w:sz w:val="24"/>
          <w:szCs w:val="24"/>
        </w:rPr>
        <w:t>a duyarlı olduğu düşünülebilir.</w:t>
      </w:r>
    </w:p>
    <w:p w:rsidR="00A751E2" w:rsidRPr="00853779" w:rsidRDefault="00A751E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779">
        <w:rPr>
          <w:rFonts w:ascii="Times New Roman" w:hAnsi="Times New Roman" w:cs="Times New Roman"/>
          <w:i/>
          <w:iCs/>
          <w:sz w:val="24"/>
          <w:szCs w:val="24"/>
        </w:rPr>
        <w:t xml:space="preserve">Genellikle duyarlı türler </w:t>
      </w: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Gram-pozitif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faecalis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Listeria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monocytogenes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Nocardia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asteroides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pyogenes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*†,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agalactiae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*†,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 (diğer β-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)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*†,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duyarlı)</w:t>
      </w:r>
      <w:r w:rsidRPr="00853779">
        <w:rPr>
          <w:rFonts w:ascii="Times New Roman" w:hAnsi="Times New Roman" w:cs="Times New Roman"/>
          <w:i/>
          <w:sz w:val="24"/>
          <w:szCs w:val="24"/>
        </w:rPr>
        <w:t>*,</w:t>
      </w:r>
      <w:r w:rsidRPr="00853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saprophyticus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duyarlı),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koagülaz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negatif stafilokoklar </w:t>
      </w:r>
      <w:r w:rsidRPr="00853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duyarlı)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Gram-negatif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Bordetella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pertussis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influenzae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*,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parainfluenzae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Helicobacter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Moraxella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catarrhalis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*,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gonorrhoeae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Pasteurella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multocida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Vibrio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cholera</w:t>
      </w:r>
      <w:proofErr w:type="spellEnd"/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Diğer: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Leptospira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ictterohaemorrhagiae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Treponema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pallidum</w:t>
      </w:r>
      <w:proofErr w:type="spellEnd"/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Gram-pozitif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Peptostreptococcus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magnus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Peptostreptococcus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micros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Peptostreptococcus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türleri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Gram-negatif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Bacterodies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fragilis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Bacteroides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türleri,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Capnocytophaga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Eikenella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corrodens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>,</w:t>
      </w:r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Fusobacterium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nucleatum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Fusobacterium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türleri,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Porphyromonas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türleri,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Prevotella</w:t>
      </w:r>
      <w:proofErr w:type="spellEnd"/>
      <w:r w:rsidR="00736911" w:rsidRPr="00853779">
        <w:rPr>
          <w:rFonts w:ascii="Times New Roman" w:hAnsi="Times New Roman" w:cs="Times New Roman"/>
          <w:sz w:val="24"/>
          <w:szCs w:val="24"/>
        </w:rPr>
        <w:t xml:space="preserve"> türleri</w:t>
      </w:r>
    </w:p>
    <w:p w:rsidR="00736911" w:rsidRPr="00853779" w:rsidRDefault="00736911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79">
        <w:rPr>
          <w:rFonts w:ascii="Times New Roman" w:hAnsi="Times New Roman" w:cs="Times New Roman"/>
          <w:i/>
          <w:sz w:val="24"/>
          <w:szCs w:val="24"/>
        </w:rPr>
        <w:t>Edinilmiş direncin sorun oluşturabileceği türler</w:t>
      </w: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Gram-negatif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*,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Klebsiella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oxytoca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Klebsiella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*,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Klebsiealla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mirabilis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Shigella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türleri.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Gram-pozitif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Corynebacterium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faecium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>*</w:t>
      </w:r>
      <w:r w:rsidRPr="00853779">
        <w:rPr>
          <w:rFonts w:ascii="Times New Roman" w:hAnsi="Times New Roman" w:cs="Times New Roman"/>
          <w:sz w:val="24"/>
          <w:szCs w:val="24"/>
        </w:rPr>
        <w:t>†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Viridans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i/>
          <w:sz w:val="24"/>
          <w:szCs w:val="24"/>
        </w:rPr>
        <w:t xml:space="preserve">grup 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†</w:t>
      </w:r>
    </w:p>
    <w:p w:rsidR="001E0642" w:rsidRPr="00853779" w:rsidRDefault="001E0642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79">
        <w:rPr>
          <w:rFonts w:ascii="Times New Roman" w:hAnsi="Times New Roman" w:cs="Times New Roman"/>
          <w:i/>
          <w:sz w:val="24"/>
          <w:szCs w:val="24"/>
        </w:rPr>
        <w:t>Doğal olarak dirençli organizmalar</w:t>
      </w: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Gram-negatif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aeroblar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  <w:r w:rsidRPr="008537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freundii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Hafnia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alvei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pneumophila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Morganella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morganii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Providencia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Serratia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türleri,</w:t>
      </w:r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Stenotrophomas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maltophilia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Yersinia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enterolitica</w:t>
      </w:r>
      <w:proofErr w:type="spellEnd"/>
    </w:p>
    <w:p w:rsidR="00B67724" w:rsidRPr="00853779" w:rsidRDefault="00B67724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CC6" w:rsidRPr="00853779" w:rsidRDefault="00262CC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Diğerleri: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Chlamydia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Chlamydia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psittaci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Chlamydia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türleri,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Coxiella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burnetti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>,</w:t>
      </w:r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Pr="008537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türleri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853779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616E59" w:rsidRPr="00853779" w:rsidRDefault="0069750F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>Emilim</w:t>
      </w:r>
    </w:p>
    <w:p w:rsidR="00FC249B" w:rsidRPr="00853779" w:rsidRDefault="00FC249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sağlıklı gönüllülere 500mg/100mg veya 1000mg/200mg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yoluyla verildiği çalışmaların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sonuçları aşağıda verilmektedir.</w:t>
      </w:r>
    </w:p>
    <w:p w:rsidR="00D56088" w:rsidRPr="00853779" w:rsidRDefault="00D5608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235"/>
        <w:gridCol w:w="992"/>
        <w:gridCol w:w="1843"/>
        <w:gridCol w:w="1184"/>
        <w:gridCol w:w="1519"/>
        <w:gridCol w:w="1515"/>
      </w:tblGrid>
      <w:tr w:rsidR="0069750F" w:rsidRPr="00853779" w:rsidTr="00084D99">
        <w:tc>
          <w:tcPr>
            <w:tcW w:w="9288" w:type="dxa"/>
            <w:gridSpan w:val="6"/>
          </w:tcPr>
          <w:p w:rsidR="0069750F" w:rsidRPr="00853779" w:rsidRDefault="0069750F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Ortalama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farmakokinetik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parametreler</w:t>
            </w:r>
          </w:p>
          <w:p w:rsidR="0069750F" w:rsidRPr="00853779" w:rsidRDefault="0069750F" w:rsidP="00F350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i/>
                <w:sz w:val="24"/>
                <w:szCs w:val="24"/>
              </w:rPr>
              <w:t>Bolus</w:t>
            </w:r>
            <w:proofErr w:type="spellEnd"/>
            <w:r w:rsidRPr="00853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i/>
                <w:sz w:val="24"/>
                <w:szCs w:val="24"/>
              </w:rPr>
              <w:t>intravenöz</w:t>
            </w:r>
            <w:proofErr w:type="spellEnd"/>
            <w:r w:rsidRPr="008537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53779">
              <w:rPr>
                <w:rFonts w:ascii="Times New Roman" w:hAnsi="Times New Roman" w:cs="Times New Roman"/>
                <w:i/>
                <w:sz w:val="24"/>
                <w:szCs w:val="24"/>
              </w:rPr>
              <w:t>enjeksiyon</w:t>
            </w:r>
            <w:proofErr w:type="gramEnd"/>
          </w:p>
        </w:tc>
      </w:tr>
      <w:tr w:rsidR="0069750F" w:rsidRPr="00853779" w:rsidTr="00304319">
        <w:tc>
          <w:tcPr>
            <w:tcW w:w="2235" w:type="dxa"/>
            <w:vMerge w:val="restart"/>
          </w:tcPr>
          <w:p w:rsidR="0069750F" w:rsidRPr="00853779" w:rsidRDefault="0069750F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Uygulanan doz</w:t>
            </w:r>
          </w:p>
        </w:tc>
        <w:tc>
          <w:tcPr>
            <w:tcW w:w="7053" w:type="dxa"/>
            <w:gridSpan w:val="5"/>
          </w:tcPr>
          <w:p w:rsidR="0069750F" w:rsidRPr="00853779" w:rsidRDefault="0069750F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Amoksisilin</w:t>
            </w:r>
            <w:proofErr w:type="spellEnd"/>
          </w:p>
        </w:tc>
      </w:tr>
      <w:tr w:rsidR="0069750F" w:rsidRPr="00853779" w:rsidTr="00304319">
        <w:tc>
          <w:tcPr>
            <w:tcW w:w="2235" w:type="dxa"/>
            <w:vMerge/>
          </w:tcPr>
          <w:p w:rsidR="0069750F" w:rsidRPr="00853779" w:rsidRDefault="0069750F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50F" w:rsidRPr="00853779" w:rsidRDefault="007C4048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Doz</w:t>
            </w:r>
          </w:p>
        </w:tc>
        <w:tc>
          <w:tcPr>
            <w:tcW w:w="1843" w:type="dxa"/>
          </w:tcPr>
          <w:p w:rsidR="0069750F" w:rsidRPr="00853779" w:rsidRDefault="007C4048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Ortalama pik serum </w:t>
            </w:r>
            <w:proofErr w:type="gram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konsantrasyonu</w:t>
            </w:r>
            <w:proofErr w:type="gram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(µg/ml)</w:t>
            </w:r>
          </w:p>
        </w:tc>
        <w:tc>
          <w:tcPr>
            <w:tcW w:w="1184" w:type="dxa"/>
          </w:tcPr>
          <w:p w:rsidR="0069750F" w:rsidRPr="00853779" w:rsidRDefault="007C4048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5377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½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(saat)</w:t>
            </w:r>
          </w:p>
        </w:tc>
        <w:tc>
          <w:tcPr>
            <w:tcW w:w="1519" w:type="dxa"/>
          </w:tcPr>
          <w:p w:rsidR="0069750F" w:rsidRPr="00853779" w:rsidRDefault="007C4048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AUC (</w:t>
            </w:r>
            <w:proofErr w:type="spellStart"/>
            <w:proofErr w:type="gram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.mg</w:t>
            </w:r>
            <w:proofErr w:type="gram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515" w:type="dxa"/>
          </w:tcPr>
          <w:p w:rsidR="0069750F" w:rsidRPr="00853779" w:rsidRDefault="007C4048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İdrarda</w:t>
            </w:r>
            <w:r w:rsidR="00C9373B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bulunan miktar (%, 0</w:t>
            </w:r>
            <w:r w:rsidR="00304319" w:rsidRPr="00853779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C9373B" w:rsidRPr="00853779">
              <w:rPr>
                <w:rFonts w:ascii="Times New Roman" w:hAnsi="Times New Roman" w:cs="Times New Roman"/>
                <w:sz w:val="24"/>
                <w:szCs w:val="24"/>
              </w:rPr>
              <w:t>6 saat)</w:t>
            </w:r>
          </w:p>
        </w:tc>
      </w:tr>
      <w:tr w:rsidR="0069750F" w:rsidRPr="00853779" w:rsidTr="00304319">
        <w:tc>
          <w:tcPr>
            <w:tcW w:w="2235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500 mg / </w:t>
            </w:r>
            <w:r w:rsidR="001E0642" w:rsidRPr="0085377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 100 mg</w:t>
            </w:r>
          </w:p>
        </w:tc>
        <w:tc>
          <w:tcPr>
            <w:tcW w:w="992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500 mg</w:t>
            </w:r>
          </w:p>
        </w:tc>
        <w:tc>
          <w:tcPr>
            <w:tcW w:w="1843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184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519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515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</w:p>
        </w:tc>
      </w:tr>
      <w:tr w:rsidR="0069750F" w:rsidRPr="00853779" w:rsidTr="00304319">
        <w:tc>
          <w:tcPr>
            <w:tcW w:w="2235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1000 mg / K</w:t>
            </w:r>
            <w:r w:rsidR="001E0642" w:rsidRPr="008537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 200 mg</w:t>
            </w:r>
          </w:p>
        </w:tc>
        <w:tc>
          <w:tcPr>
            <w:tcW w:w="992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1000 mg</w:t>
            </w:r>
          </w:p>
        </w:tc>
        <w:tc>
          <w:tcPr>
            <w:tcW w:w="1843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105.4</w:t>
            </w:r>
          </w:p>
        </w:tc>
        <w:tc>
          <w:tcPr>
            <w:tcW w:w="1184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19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  <w:tc>
          <w:tcPr>
            <w:tcW w:w="1515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</w:tr>
      <w:tr w:rsidR="00084D99" w:rsidRPr="00853779" w:rsidTr="00304319">
        <w:tc>
          <w:tcPr>
            <w:tcW w:w="2235" w:type="dxa"/>
          </w:tcPr>
          <w:p w:rsidR="00084D99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5"/>
          </w:tcPr>
          <w:p w:rsidR="00084D99" w:rsidRPr="00853779" w:rsidRDefault="00084D99" w:rsidP="00F350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Klavulanik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asit</w:t>
            </w:r>
          </w:p>
        </w:tc>
      </w:tr>
      <w:tr w:rsidR="0069750F" w:rsidRPr="00853779" w:rsidTr="00304319">
        <w:tc>
          <w:tcPr>
            <w:tcW w:w="2235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500 mg / K</w:t>
            </w:r>
            <w:r w:rsidR="00304319" w:rsidRPr="008537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 100 mg</w:t>
            </w:r>
          </w:p>
        </w:tc>
        <w:tc>
          <w:tcPr>
            <w:tcW w:w="992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100 mg</w:t>
            </w:r>
          </w:p>
        </w:tc>
        <w:tc>
          <w:tcPr>
            <w:tcW w:w="1843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84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19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15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</w:tr>
      <w:tr w:rsidR="0069750F" w:rsidRPr="00853779" w:rsidTr="00304319">
        <w:tc>
          <w:tcPr>
            <w:tcW w:w="2235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1000 mg / K</w:t>
            </w:r>
            <w:r w:rsidR="00304319" w:rsidRPr="008537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 200 mg</w:t>
            </w:r>
          </w:p>
        </w:tc>
        <w:tc>
          <w:tcPr>
            <w:tcW w:w="992" w:type="dxa"/>
          </w:tcPr>
          <w:p w:rsidR="0069750F" w:rsidRPr="00853779" w:rsidRDefault="00084D9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200 mg</w:t>
            </w:r>
          </w:p>
        </w:tc>
        <w:tc>
          <w:tcPr>
            <w:tcW w:w="1843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184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19" w:type="dxa"/>
          </w:tcPr>
          <w:p w:rsidR="0069750F" w:rsidRPr="00853779" w:rsidRDefault="00084D9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515" w:type="dxa"/>
          </w:tcPr>
          <w:p w:rsidR="0069750F" w:rsidRPr="00853779" w:rsidRDefault="00304319" w:rsidP="00F3509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</w:p>
        </w:tc>
      </w:tr>
      <w:tr w:rsidR="00304319" w:rsidRPr="00853779" w:rsidTr="00304319">
        <w:tc>
          <w:tcPr>
            <w:tcW w:w="9288" w:type="dxa"/>
            <w:gridSpan w:val="6"/>
          </w:tcPr>
          <w:p w:rsidR="00304319" w:rsidRPr="00853779" w:rsidRDefault="0030431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</w:t>
            </w:r>
            <w:proofErr w:type="spellEnd"/>
            <w:proofErr w:type="gram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Amoksisilin</w:t>
            </w:r>
            <w:proofErr w:type="spellEnd"/>
          </w:p>
          <w:p w:rsidR="00304319" w:rsidRPr="00853779" w:rsidRDefault="00304319" w:rsidP="00F350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gram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Klavulanik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asit</w:t>
            </w:r>
          </w:p>
        </w:tc>
      </w:tr>
    </w:tbl>
    <w:p w:rsidR="0069750F" w:rsidRPr="00853779" w:rsidRDefault="0069750F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49B" w:rsidRPr="00853779" w:rsidRDefault="00FC249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>Dağılım</w:t>
      </w:r>
    </w:p>
    <w:p w:rsidR="002D4462" w:rsidRPr="00853779" w:rsidRDefault="002D44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Toplam plazma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asidinin %25 ve toplam plazma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%18 kadarı proteine bağlanır. Görünürdeki dağılım hacmi,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amoksisilinde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0.3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-0.4 l/kg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asitte 0.2/ l/kg dolayındadır. 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462" w:rsidRPr="00853779" w:rsidRDefault="002D44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uygulamadan sonra safra kesesinde;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dokularda; deri, yağ, kas dokularında,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sinoviyal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peritoneal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sıvılarda; safra ve iltihapta hem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bulunmuştur.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beyin omurilik sıvısına dağılımı yeterli değildir. </w:t>
      </w:r>
    </w:p>
    <w:p w:rsidR="002D4462" w:rsidRPr="00853779" w:rsidRDefault="002D446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Hayvan çalışmalarında, bileşenlerden herhangi biri için ilaçtan kaynaklanan materyallerle önemli doku tutulumuna ilişkin kanıt yoktur. Penisilinlerin çoğu gibi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de anne sütünde saptanabilir. Anne sütünde</w:t>
      </w:r>
      <w:r w:rsidR="005657E4" w:rsidRPr="00853779">
        <w:rPr>
          <w:rFonts w:ascii="Times New Roman" w:hAnsi="Times New Roman" w:cs="Times New Roman"/>
          <w:sz w:val="24"/>
          <w:szCs w:val="24"/>
        </w:rPr>
        <w:t xml:space="preserve"> de</w:t>
      </w:r>
      <w:r w:rsidRPr="00853779">
        <w:rPr>
          <w:rFonts w:ascii="Times New Roman" w:hAnsi="Times New Roman" w:cs="Times New Roman"/>
          <w:sz w:val="24"/>
          <w:szCs w:val="24"/>
        </w:rPr>
        <w:t xml:space="preserve"> eser miktarda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saptanabilmektedir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4.6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7724" w:rsidRPr="00853779" w:rsidRDefault="00B6772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4D8" w:rsidRPr="00853779" w:rsidRDefault="005464D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85377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6DB2" w:rsidRPr="00853779" w:rsidRDefault="00CC6DB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kısmen idrarla, başlangıç dozunun yaklaşık %10-25’i oranında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inaktif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penisiloik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şeklinde atılır.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insanda geniş oranda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olarak, idrar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feçes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içinde ve karbondioksit şeklinde hava ile atılır.</w:t>
      </w:r>
    </w:p>
    <w:p w:rsidR="005464D8" w:rsidRPr="00853779" w:rsidRDefault="005464D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>Eliminasyon</w:t>
      </w:r>
      <w:r w:rsidRPr="00853779">
        <w:rPr>
          <w:rFonts w:ascii="Times New Roman" w:hAnsi="Times New Roman" w:cs="Times New Roman"/>
          <w:sz w:val="24"/>
          <w:szCs w:val="24"/>
        </w:rPr>
        <w:t>:</w:t>
      </w: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başlıca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yolu böbreklerdir, buna karşılık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hem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olmayan mekanizmalarla atılır.</w:t>
      </w: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ortalama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yarılanma ömrü yaklaşık bir saattir ve ortalama total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sağlıklı kişilerde yaklaşık 25 L/saattir. </w:t>
      </w:r>
      <w:r w:rsidR="00A17394" w:rsidRPr="00853779">
        <w:rPr>
          <w:rFonts w:ascii="Times New Roman" w:hAnsi="Times New Roman" w:cs="Times New Roman"/>
          <w:sz w:val="24"/>
          <w:szCs w:val="24"/>
        </w:rPr>
        <w:t xml:space="preserve">500mg/100mg ya da 1000mg/200mg tek doz </w:t>
      </w:r>
      <w:proofErr w:type="spellStart"/>
      <w:r w:rsidR="00A17394"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A17394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394" w:rsidRPr="00853779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A17394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394" w:rsidRPr="00853779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A17394" w:rsidRPr="00853779">
        <w:rPr>
          <w:rFonts w:ascii="Times New Roman" w:hAnsi="Times New Roman" w:cs="Times New Roman"/>
          <w:sz w:val="24"/>
          <w:szCs w:val="24"/>
        </w:rPr>
        <w:t xml:space="preserve"> AMOKLAVİN</w:t>
      </w:r>
      <w:r w:rsidRPr="00853779">
        <w:rPr>
          <w:rFonts w:ascii="Times New Roman" w:hAnsi="Times New Roman" w:cs="Times New Roman"/>
          <w:sz w:val="24"/>
          <w:szCs w:val="24"/>
        </w:rPr>
        <w:t xml:space="preserve"> uygulamasından sonraki ilk 6 saatte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yaklaşık %60-70’i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yaklaşık %40-</w:t>
      </w:r>
      <w:r w:rsidR="00F75926" w:rsidRPr="00853779">
        <w:rPr>
          <w:rFonts w:ascii="Times New Roman" w:hAnsi="Times New Roman" w:cs="Times New Roman"/>
          <w:sz w:val="24"/>
          <w:szCs w:val="24"/>
        </w:rPr>
        <w:t>6</w:t>
      </w:r>
      <w:r w:rsidRPr="00853779">
        <w:rPr>
          <w:rFonts w:ascii="Times New Roman" w:hAnsi="Times New Roman" w:cs="Times New Roman"/>
          <w:sz w:val="24"/>
          <w:szCs w:val="24"/>
        </w:rPr>
        <w:t xml:space="preserve">5’i idrarla değişikliğe uğramadan atılır. Çeşitli çalışmalarda, 24 saatlik bir dönemde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idrarla atılım miktarının %50-85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%27-60 arasında olduğu bulunmuştur.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asitte, ilacın en büyük miktarı uygulamadan sonraki ilk 2 saatte atılmaktadır.</w:t>
      </w:r>
    </w:p>
    <w:p w:rsidR="00B67724" w:rsidRPr="00853779" w:rsidRDefault="00B6772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Eş zamanlı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kullanılması,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atılmasını geciktirmekle birlikte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böbreklerden atılmasını geciktirmez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4.5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</w:t>
      </w:r>
    </w:p>
    <w:p w:rsidR="00A17394" w:rsidRPr="00853779" w:rsidRDefault="00A17394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b/>
          <w:sz w:val="24"/>
          <w:szCs w:val="24"/>
          <w:u w:val="single"/>
        </w:rPr>
        <w:t>Hastalardaki karakteristik özellikler</w:t>
      </w: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>Böbrek yetmezliği</w:t>
      </w: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Böbrek işlevinin azalmasıyla doğru orantılı olarak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asitin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total serum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klirensi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de azalır. İlaç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klirensindeki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azalma,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daha büyük bir bölümünün böbrek yoluyla atılması nedeniyle,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amoksisilinde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asitten daha belirgindir. Bu yüzden, böbrek yetmezliğinde dozlar,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fazla birikmesini önlerken, yeterli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 düzeylerinin sürdürülmesini sağlamalıdır (bkz. Bölüm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4.2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>).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>Karaciğer yetmezliği</w:t>
      </w: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Karaciğer yetmezliği bulunan hastalarda doz dikkatle belirlenmeli ve karaciğer işlevleri düzenli aralıklarla izlenmelidir.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779">
        <w:rPr>
          <w:rFonts w:ascii="Times New Roman" w:hAnsi="Times New Roman" w:cs="Times New Roman"/>
          <w:sz w:val="24"/>
          <w:szCs w:val="24"/>
          <w:u w:val="single"/>
        </w:rPr>
        <w:t>Yaş</w:t>
      </w:r>
    </w:p>
    <w:p w:rsidR="00B60FAB" w:rsidRPr="00853779" w:rsidRDefault="00B60FA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yarılanma ömrü 3 aylıktan 2 yaşına kadar olan çocuklarda ve daha büyük çocuklar ile erişkinlerde aynıdır. Çok küçük çocuklarda (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preterm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yeni doğanlar dahil) yaşamın ilk haftasında uygulama aralığı, böbrek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yolunun gelişmemiş olması nedeniyle, günde iki kez uygulamayı aşmamalıdır. Yaşlı hastalarda böbrek işlevlerinde azalma olasılığı daha fazla olduğundan, doz seçiminde dikkatli olunmalıdır ve böbrek işlevinin izlenmesi yararlı olabilir.</w:t>
      </w:r>
    </w:p>
    <w:p w:rsidR="00596634" w:rsidRPr="00853779" w:rsidRDefault="0059663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CC22F6" w:rsidRPr="00853779" w:rsidRDefault="00CC22F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Klinik dışı veriler,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farmakoloji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üreme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güvenliliğine yönelik çalışmalar temelinde insanlar açısından özel bir tehlike ortaya koymamıştır.</w:t>
      </w:r>
    </w:p>
    <w:p w:rsidR="00CC22F6" w:rsidRPr="00853779" w:rsidRDefault="00CC22F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Köpeklerde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klavulanik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asitle yapılan tekrarlanan doz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çalışmalarında,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tahriş, kusma ve dilde renk bozukluğu görülmüştür.</w:t>
      </w:r>
    </w:p>
    <w:p w:rsidR="00CC22F6" w:rsidRPr="00853779" w:rsidRDefault="00CC22F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ya da bileşenleriyle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karsinogenesite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çalışmaları yapılmamıştır.</w:t>
      </w:r>
    </w:p>
    <w:p w:rsidR="00CC22F6" w:rsidRPr="00853779" w:rsidRDefault="00CC22F6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9577CD" w:rsidRPr="00853779" w:rsidRDefault="009577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>:</w:t>
      </w:r>
    </w:p>
    <w:p w:rsidR="009577CD" w:rsidRPr="00853779" w:rsidRDefault="009577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Bulunmamaktadır.</w:t>
      </w:r>
    </w:p>
    <w:p w:rsidR="009577CD" w:rsidRPr="00853779" w:rsidRDefault="009577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Çözücü</w:t>
      </w:r>
      <w:r w:rsidR="00560864" w:rsidRPr="00853779">
        <w:rPr>
          <w:rFonts w:ascii="Times New Roman" w:hAnsi="Times New Roman" w:cs="Times New Roman"/>
          <w:sz w:val="24"/>
          <w:szCs w:val="24"/>
        </w:rPr>
        <w:t xml:space="preserve"> Ampul</w:t>
      </w:r>
      <w:r w:rsidRPr="00853779">
        <w:rPr>
          <w:rFonts w:ascii="Times New Roman" w:hAnsi="Times New Roman" w:cs="Times New Roman"/>
          <w:sz w:val="24"/>
          <w:szCs w:val="24"/>
        </w:rPr>
        <w:t>:</w:t>
      </w:r>
    </w:p>
    <w:p w:rsidR="009577CD" w:rsidRPr="00853779" w:rsidRDefault="009577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Enjeksiyonluk su.</w:t>
      </w:r>
    </w:p>
    <w:p w:rsidR="009577CD" w:rsidRPr="00853779" w:rsidRDefault="009577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724" w:rsidRPr="00853779" w:rsidRDefault="00B6772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724" w:rsidRPr="00853779" w:rsidRDefault="00B6772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C305FC" w:rsidRPr="00853779" w:rsidRDefault="00C305FC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AMOKLAVİN, kan ürünleriyle, protein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hidrolizat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gibi diğer proteinli sıvılarla ve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yağ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emülsyonları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ile karıştırılmamalıdır.</w:t>
      </w:r>
    </w:p>
    <w:p w:rsidR="00C305FC" w:rsidRPr="00853779" w:rsidRDefault="00C305FC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57" w:rsidRPr="00853779" w:rsidRDefault="005A7B57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Aminoglikozidlerin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aminopenisilinlerden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herhangi birinin varlığında </w:t>
      </w:r>
      <w:r w:rsidR="000147B7" w:rsidRPr="00853779">
        <w:rPr>
          <w:rFonts w:ascii="Times New Roman" w:hAnsi="Times New Roman" w:cs="Times New Roman"/>
          <w:sz w:val="24"/>
          <w:szCs w:val="24"/>
        </w:rPr>
        <w:t>aktivite kaybı risk</w:t>
      </w:r>
      <w:r w:rsidR="003B4EE5" w:rsidRPr="00853779">
        <w:rPr>
          <w:rFonts w:ascii="Times New Roman" w:hAnsi="Times New Roman" w:cs="Times New Roman"/>
          <w:sz w:val="24"/>
          <w:szCs w:val="24"/>
        </w:rPr>
        <w:t>i</w:t>
      </w:r>
      <w:r w:rsidR="000147B7" w:rsidRPr="00853779">
        <w:rPr>
          <w:rFonts w:ascii="Times New Roman" w:hAnsi="Times New Roman" w:cs="Times New Roman"/>
          <w:sz w:val="24"/>
          <w:szCs w:val="24"/>
        </w:rPr>
        <w:t xml:space="preserve"> nedeniyle</w:t>
      </w:r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7B7" w:rsidRPr="00853779">
        <w:rPr>
          <w:rFonts w:ascii="Times New Roman" w:hAnsi="Times New Roman" w:cs="Times New Roman"/>
          <w:sz w:val="24"/>
          <w:szCs w:val="24"/>
        </w:rPr>
        <w:t>AMOKLAVİN’in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aminoglikozidler</w:t>
      </w:r>
      <w:r w:rsidR="000147B7" w:rsidRPr="0085377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0147B7" w:rsidRPr="00853779">
        <w:rPr>
          <w:rFonts w:ascii="Times New Roman" w:hAnsi="Times New Roman" w:cs="Times New Roman"/>
          <w:sz w:val="24"/>
          <w:szCs w:val="24"/>
        </w:rPr>
        <w:t xml:space="preserve"> birlikte </w:t>
      </w:r>
      <w:proofErr w:type="spellStart"/>
      <w:r w:rsidR="000147B7" w:rsidRPr="00853779">
        <w:rPr>
          <w:rFonts w:ascii="Times New Roman" w:hAnsi="Times New Roman" w:cs="Times New Roman"/>
          <w:sz w:val="24"/>
          <w:szCs w:val="24"/>
        </w:rPr>
        <w:t>reçetelendirildiği</w:t>
      </w:r>
      <w:proofErr w:type="spellEnd"/>
      <w:r w:rsidR="000147B7" w:rsidRPr="00853779">
        <w:rPr>
          <w:rFonts w:ascii="Times New Roman" w:hAnsi="Times New Roman" w:cs="Times New Roman"/>
          <w:sz w:val="24"/>
          <w:szCs w:val="24"/>
        </w:rPr>
        <w:t xml:space="preserve"> durumlarda antibiyotikler</w:t>
      </w:r>
      <w:r w:rsidRPr="00853779">
        <w:rPr>
          <w:rFonts w:ascii="Times New Roman" w:hAnsi="Times New Roman" w:cs="Times New Roman"/>
          <w:sz w:val="24"/>
          <w:szCs w:val="24"/>
        </w:rPr>
        <w:t xml:space="preserve"> ayrı olarak</w:t>
      </w:r>
      <w:r w:rsidR="000147B7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>sulandırılmalı ve ayrı olarak uygulanmalıdırlar.</w:t>
      </w:r>
    </w:p>
    <w:p w:rsidR="005A7B57" w:rsidRPr="00853779" w:rsidRDefault="005A7B57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B03584" w:rsidRPr="00853779" w:rsidRDefault="00974BA0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36</w:t>
      </w:r>
      <w:r w:rsidR="00B03584" w:rsidRPr="00853779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596634" w:rsidRPr="00853779" w:rsidRDefault="0059663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B03584" w:rsidRPr="00853779" w:rsidRDefault="00B0358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Kuru tozu 25</w:t>
      </w:r>
      <w:r w:rsidRPr="008537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53779">
        <w:rPr>
          <w:rFonts w:ascii="Times New Roman" w:hAnsi="Times New Roman" w:cs="Times New Roman"/>
          <w:sz w:val="24"/>
          <w:szCs w:val="24"/>
        </w:rPr>
        <w:t>C’nin altındaki oda sıcaklığında sakla</w:t>
      </w:r>
      <w:r w:rsidR="00560864" w:rsidRPr="00853779">
        <w:rPr>
          <w:rFonts w:ascii="Times New Roman" w:hAnsi="Times New Roman" w:cs="Times New Roman"/>
          <w:sz w:val="24"/>
          <w:szCs w:val="24"/>
        </w:rPr>
        <w:t>yınız.</w:t>
      </w:r>
    </w:p>
    <w:p w:rsidR="000F0BDF" w:rsidRPr="00853779" w:rsidRDefault="000F0BDF" w:rsidP="00F35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Sulandırıldıktan sonra bekletilmeden kullanılmalıdır.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B03584" w:rsidRPr="00853779" w:rsidRDefault="00B0358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emniyet kapsülü ve teflon kaplı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butil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kauçuk tıpa ile kapatılmış renksiz </w:t>
      </w:r>
      <w:r w:rsidR="00B405D2" w:rsidRPr="00853779">
        <w:rPr>
          <w:rFonts w:ascii="Times New Roman" w:hAnsi="Times New Roman" w:cs="Times New Roman"/>
          <w:sz w:val="24"/>
          <w:szCs w:val="24"/>
        </w:rPr>
        <w:t xml:space="preserve">Tip III cam </w:t>
      </w:r>
      <w:proofErr w:type="spellStart"/>
      <w:r w:rsidR="00B405D2" w:rsidRPr="0085377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="00B405D2" w:rsidRPr="00853779">
        <w:rPr>
          <w:rFonts w:ascii="Times New Roman" w:hAnsi="Times New Roman" w:cs="Times New Roman"/>
          <w:sz w:val="24"/>
          <w:szCs w:val="24"/>
        </w:rPr>
        <w:t xml:space="preserve"> </w:t>
      </w:r>
      <w:r w:rsidRPr="00853779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173AF8" w:rsidRPr="00853779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="00173AF8" w:rsidRPr="00853779">
        <w:rPr>
          <w:rFonts w:ascii="Times New Roman" w:hAnsi="Times New Roman" w:cs="Times New Roman"/>
          <w:sz w:val="24"/>
          <w:szCs w:val="24"/>
        </w:rPr>
        <w:t xml:space="preserve"> su içeren </w:t>
      </w:r>
      <w:r w:rsidRPr="00853779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ml</w:t>
      </w:r>
      <w:r w:rsidR="00173AF8" w:rsidRPr="00853779">
        <w:rPr>
          <w:rFonts w:ascii="Times New Roman" w:hAnsi="Times New Roman" w:cs="Times New Roman"/>
          <w:sz w:val="24"/>
          <w:szCs w:val="24"/>
        </w:rPr>
        <w:t>’lik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renksiz, halkalı, </w:t>
      </w:r>
      <w:r w:rsidR="00B405D2" w:rsidRPr="00853779">
        <w:rPr>
          <w:rFonts w:ascii="Times New Roman" w:hAnsi="Times New Roman" w:cs="Times New Roman"/>
          <w:sz w:val="24"/>
          <w:szCs w:val="24"/>
        </w:rPr>
        <w:t>Tip I cam ampul</w:t>
      </w:r>
      <w:r w:rsidRPr="00853779">
        <w:rPr>
          <w:rFonts w:ascii="Times New Roman" w:hAnsi="Times New Roman" w:cs="Times New Roman"/>
          <w:sz w:val="24"/>
          <w:szCs w:val="24"/>
        </w:rPr>
        <w:t>.</w:t>
      </w:r>
    </w:p>
    <w:p w:rsidR="00B03584" w:rsidRPr="00853779" w:rsidRDefault="00B0358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Her bir karton kutu; 1 adet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1 adet çözücü ampul içermektedir. </w:t>
      </w:r>
    </w:p>
    <w:p w:rsidR="00B03584" w:rsidRPr="00853779" w:rsidRDefault="00B03584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853779" w:rsidRDefault="00616E59" w:rsidP="00F35099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7A5B98" w:rsidRPr="00853779" w:rsidRDefault="007A5B9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 ve</w:t>
      </w:r>
    </w:p>
    <w:p w:rsidR="007A5B98" w:rsidRPr="00853779" w:rsidRDefault="007A5B9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“Ambalaj ve Ambalaj Atıklarının Kontrolü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Yönetmelik”lerine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uygun olarak imha edilmelidir.</w:t>
      </w:r>
    </w:p>
    <w:p w:rsidR="001650F2" w:rsidRPr="00853779" w:rsidRDefault="001650F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5B98" w:rsidRPr="00853779" w:rsidRDefault="007A5B9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İntravenöz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  <w:u w:val="single"/>
        </w:rPr>
        <w:t>enjeksiyon</w:t>
      </w:r>
      <w:proofErr w:type="gramEnd"/>
      <w:r w:rsidR="00776E1A" w:rsidRPr="00853779">
        <w:rPr>
          <w:rFonts w:ascii="Times New Roman" w:hAnsi="Times New Roman" w:cs="Times New Roman"/>
          <w:sz w:val="24"/>
          <w:szCs w:val="24"/>
          <w:u w:val="single"/>
        </w:rPr>
        <w:t xml:space="preserve"> için</w:t>
      </w:r>
      <w:r w:rsidRPr="00853779">
        <w:rPr>
          <w:rFonts w:ascii="Times New Roman" w:hAnsi="Times New Roman" w:cs="Times New Roman"/>
          <w:sz w:val="24"/>
          <w:szCs w:val="24"/>
          <w:u w:val="single"/>
        </w:rPr>
        <w:t xml:space="preserve"> çözeltinin hazırlanması</w:t>
      </w:r>
    </w:p>
    <w:p w:rsidR="00EE2755" w:rsidRPr="00853779" w:rsidRDefault="00C305FC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ambalajında yer alan çözücüde (20 ml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su) çözündürülür</w:t>
      </w:r>
      <w:r w:rsidR="00EE2755" w:rsidRPr="00853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755" w:rsidRPr="00853779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="00EE2755"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755" w:rsidRPr="00853779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="00EE2755" w:rsidRPr="00853779">
        <w:rPr>
          <w:rFonts w:ascii="Times New Roman" w:hAnsi="Times New Roman" w:cs="Times New Roman"/>
          <w:sz w:val="24"/>
          <w:szCs w:val="24"/>
        </w:rPr>
        <w:t xml:space="preserve"> hazırlandıktan sonra en geç 20 dakika içinde tatbik edilmelidir.</w:t>
      </w:r>
    </w:p>
    <w:p w:rsidR="007A5B98" w:rsidRPr="00853779" w:rsidRDefault="007A5B98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1A" w:rsidRPr="00853779" w:rsidRDefault="00776E1A" w:rsidP="00F35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İntravenöz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  <w:u w:val="single"/>
        </w:rPr>
        <w:t>infüzyon</w:t>
      </w:r>
      <w:proofErr w:type="spellEnd"/>
      <w:r w:rsidRPr="00853779">
        <w:rPr>
          <w:rFonts w:ascii="Times New Roman" w:hAnsi="Times New Roman" w:cs="Times New Roman"/>
          <w:sz w:val="24"/>
          <w:szCs w:val="24"/>
          <w:u w:val="single"/>
        </w:rPr>
        <w:t xml:space="preserve"> için çözeltinin hazırlanması</w:t>
      </w:r>
    </w:p>
    <w:p w:rsidR="00776E1A" w:rsidRPr="00853779" w:rsidRDefault="00E3477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AMOKLAVİN çoklu doz uygulama için uygun değildir.</w:t>
      </w:r>
    </w:p>
    <w:p w:rsidR="00E3477B" w:rsidRPr="00853779" w:rsidRDefault="00F94DF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AMOKLAVİN ambalajında yer alan çözücüde (20 ml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su) çözündürülerek bekletilmeden 100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solüsyonuna eklenmelidir.</w:t>
      </w: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ED" w:rsidRPr="00853779" w:rsidRDefault="00E84AE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için değişik çözücülere ait kullanma süreleri aşağıda gösterilmiştir: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53"/>
        <w:gridCol w:w="1985"/>
      </w:tblGrid>
      <w:tr w:rsidR="00E84AED" w:rsidRPr="00853779" w:rsidTr="001866C9">
        <w:tc>
          <w:tcPr>
            <w:tcW w:w="5353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AMOKLAVİN ile </w:t>
            </w:r>
            <w:r w:rsidR="001866C9"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eçimli </w:t>
            </w:r>
            <w:proofErr w:type="spellStart"/>
            <w:r w:rsidR="001866C9"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>nfüzyon</w:t>
            </w:r>
            <w:proofErr w:type="spellEnd"/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solüsyonları</w:t>
            </w:r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>Stabilite</w:t>
            </w:r>
            <w:proofErr w:type="spellEnd"/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6C9"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53779">
              <w:rPr>
                <w:rFonts w:ascii="Times New Roman" w:hAnsi="Times New Roman" w:cs="Times New Roman"/>
                <w:b/>
                <w:sz w:val="24"/>
                <w:szCs w:val="24"/>
              </w:rPr>
              <w:t>üreleri</w:t>
            </w:r>
          </w:p>
        </w:tc>
      </w:tr>
      <w:tr w:rsidR="00E84AED" w:rsidRPr="00853779" w:rsidTr="001866C9">
        <w:tc>
          <w:tcPr>
            <w:tcW w:w="5353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Enjeksiyonluk Su</w:t>
            </w:r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E84AED" w:rsidRPr="00853779" w:rsidTr="001866C9">
        <w:tc>
          <w:tcPr>
            <w:tcW w:w="5353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% 0.9 Sodyum Klorür</w:t>
            </w:r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6C9"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</w:tr>
      <w:tr w:rsidR="00E84AED" w:rsidRPr="00853779" w:rsidTr="001866C9">
        <w:tc>
          <w:tcPr>
            <w:tcW w:w="5353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Sodyum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Laktat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(M/6)</w:t>
            </w:r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E84AED" w:rsidRPr="00853779" w:rsidTr="001866C9">
        <w:tc>
          <w:tcPr>
            <w:tcW w:w="5353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Ringer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Solüsyonu</w:t>
            </w:r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E84AED" w:rsidRPr="00853779" w:rsidTr="001866C9">
        <w:tc>
          <w:tcPr>
            <w:tcW w:w="5353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Laktatlı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Ringer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Solüsyonu</w:t>
            </w:r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E84AED" w:rsidRPr="00853779" w:rsidTr="001866C9">
        <w:tc>
          <w:tcPr>
            <w:tcW w:w="5353" w:type="dxa"/>
          </w:tcPr>
          <w:p w:rsidR="00E84AED" w:rsidRPr="00853779" w:rsidRDefault="00E84AED" w:rsidP="007230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Potasyum Klorür ve Sodyum Klorür </w:t>
            </w:r>
            <w:proofErr w:type="spellStart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İntravenöz</w:t>
            </w:r>
            <w:proofErr w:type="spellEnd"/>
            <w:r w:rsidRPr="0085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30C8" w:rsidRPr="00853779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nfüzyonu</w:t>
            </w:r>
            <w:proofErr w:type="spellEnd"/>
          </w:p>
        </w:tc>
        <w:tc>
          <w:tcPr>
            <w:tcW w:w="1985" w:type="dxa"/>
          </w:tcPr>
          <w:p w:rsidR="00E84AED" w:rsidRPr="00853779" w:rsidRDefault="00E84AED" w:rsidP="00F350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779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</w:tbl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ECD" w:rsidRPr="00853779" w:rsidRDefault="00240EC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İ.V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Dekstran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ve Bikarbonat içeren </w:t>
      </w:r>
      <w:proofErr w:type="spellStart"/>
      <w:r w:rsidR="007230C8" w:rsidRPr="00853779">
        <w:rPr>
          <w:rFonts w:ascii="Times New Roman" w:hAnsi="Times New Roman" w:cs="Times New Roman"/>
          <w:sz w:val="24"/>
          <w:szCs w:val="24"/>
        </w:rPr>
        <w:t>i</w:t>
      </w:r>
      <w:r w:rsidRPr="00853779">
        <w:rPr>
          <w:rFonts w:ascii="Times New Roman" w:hAnsi="Times New Roman" w:cs="Times New Roman"/>
          <w:sz w:val="24"/>
          <w:szCs w:val="24"/>
        </w:rPr>
        <w:t>nfüzyon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çözeltilerinde daha az stabildir. Bu nedenle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Amoklavin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İ.V. bu çözeltiler içinde </w:t>
      </w:r>
      <w:proofErr w:type="spellStart"/>
      <w:r w:rsidR="007230C8" w:rsidRPr="00853779">
        <w:rPr>
          <w:rFonts w:ascii="Times New Roman" w:hAnsi="Times New Roman" w:cs="Times New Roman"/>
          <w:sz w:val="24"/>
          <w:szCs w:val="24"/>
        </w:rPr>
        <w:t>i</w:t>
      </w:r>
      <w:r w:rsidRPr="00853779">
        <w:rPr>
          <w:rFonts w:ascii="Times New Roman" w:hAnsi="Times New Roman" w:cs="Times New Roman"/>
          <w:sz w:val="24"/>
          <w:szCs w:val="24"/>
        </w:rPr>
        <w:t>nfüzyon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şeklinde verilmemeli, 3-4 dakikanın üstünde bir sürede serum setinin lastik tüpüne enjekte edilerek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şeklinde tatbik edilmelidir.</w:t>
      </w:r>
    </w:p>
    <w:p w:rsidR="00F94DF2" w:rsidRPr="00853779" w:rsidRDefault="00F94DF2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DEVA HOLDİNG A.Ş.</w:t>
      </w:r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No:</w:t>
      </w:r>
      <w:proofErr w:type="gramStart"/>
      <w:r w:rsidRPr="00853779">
        <w:rPr>
          <w:rFonts w:ascii="Times New Roman" w:hAnsi="Times New Roman" w:cs="Times New Roman"/>
          <w:sz w:val="24"/>
          <w:szCs w:val="24"/>
        </w:rPr>
        <w:t>1  34303</w:t>
      </w:r>
      <w:proofErr w:type="gramEnd"/>
      <w:r w:rsidRPr="00853779">
        <w:rPr>
          <w:rFonts w:ascii="Times New Roman" w:hAnsi="Times New Roman" w:cs="Times New Roman"/>
          <w:sz w:val="24"/>
          <w:szCs w:val="24"/>
        </w:rPr>
        <w:t xml:space="preserve">  Küçükçekmece/İSTANBUL </w:t>
      </w:r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 xml:space="preserve">Tel:  0212 692 92 </w:t>
      </w:r>
      <w:proofErr w:type="spellStart"/>
      <w:r w:rsidRPr="00853779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77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53779">
        <w:rPr>
          <w:rFonts w:ascii="Times New Roman" w:hAnsi="Times New Roman" w:cs="Times New Roman"/>
          <w:sz w:val="24"/>
          <w:szCs w:val="24"/>
        </w:rPr>
        <w:t xml:space="preserve">: 0212 697 00 24 </w:t>
      </w:r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195/78</w:t>
      </w:r>
    </w:p>
    <w:p w:rsidR="00A3584D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853779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616E59" w:rsidRPr="00853779" w:rsidRDefault="00A3584D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İlk ruhsatlandı</w:t>
      </w:r>
      <w:r w:rsidR="002E5A7B" w:rsidRPr="00853779">
        <w:rPr>
          <w:rFonts w:ascii="Times New Roman" w:hAnsi="Times New Roman" w:cs="Times New Roman"/>
          <w:sz w:val="24"/>
          <w:szCs w:val="24"/>
        </w:rPr>
        <w:t>rma tarihi: 19.10.2000</w:t>
      </w:r>
    </w:p>
    <w:p w:rsidR="002E5A7B" w:rsidRPr="00853779" w:rsidRDefault="00B2755B" w:rsidP="00F35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779">
        <w:rPr>
          <w:rFonts w:ascii="Times New Roman" w:hAnsi="Times New Roman" w:cs="Times New Roman"/>
          <w:sz w:val="24"/>
          <w:szCs w:val="24"/>
        </w:rPr>
        <w:t>Ruhsat yenileme tarihi:</w:t>
      </w:r>
    </w:p>
    <w:p w:rsidR="00B2755B" w:rsidRPr="00853779" w:rsidRDefault="00B2755B" w:rsidP="00F35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Default="00C93104" w:rsidP="00F35099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9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D12200" w:rsidRPr="00D12200" w:rsidRDefault="00D12200" w:rsidP="00D122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</w:t>
      </w:r>
      <w:r w:rsidRPr="00D1220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</w:p>
    <w:sectPr w:rsidR="00D12200" w:rsidRPr="00D12200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E5" w:rsidRDefault="006777E5" w:rsidP="00F33D2C">
      <w:pPr>
        <w:spacing w:after="0" w:line="240" w:lineRule="auto"/>
      </w:pPr>
      <w:r>
        <w:separator/>
      </w:r>
    </w:p>
  </w:endnote>
  <w:endnote w:type="continuationSeparator" w:id="0">
    <w:p w:rsidR="006777E5" w:rsidRDefault="006777E5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9801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1459903"/>
          <w:docPartObj>
            <w:docPartGallery w:val="Page Numbers (Top of Page)"/>
            <w:docPartUnique/>
          </w:docPartObj>
        </w:sdtPr>
        <w:sdtContent>
          <w:p w:rsidR="006777E5" w:rsidRPr="009C02EC" w:rsidRDefault="008972A6" w:rsidP="009C02EC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2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777E5" w:rsidRPr="009C02EC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9C0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2200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9C0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777E5" w:rsidRPr="009C02E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C02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777E5" w:rsidRPr="009C02EC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9C02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2200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Pr="009C02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E5" w:rsidRDefault="006777E5" w:rsidP="00F33D2C">
      <w:pPr>
        <w:spacing w:after="0" w:line="240" w:lineRule="auto"/>
      </w:pPr>
      <w:r>
        <w:separator/>
      </w:r>
    </w:p>
  </w:footnote>
  <w:footnote w:type="continuationSeparator" w:id="0">
    <w:p w:rsidR="006777E5" w:rsidRDefault="006777E5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FF9"/>
    <w:multiLevelType w:val="hybridMultilevel"/>
    <w:tmpl w:val="EA764B04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C3373"/>
    <w:multiLevelType w:val="hybridMultilevel"/>
    <w:tmpl w:val="E9248D4C"/>
    <w:lvl w:ilvl="0" w:tplc="AA6A1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28B6183"/>
    <w:multiLevelType w:val="hybridMultilevel"/>
    <w:tmpl w:val="72209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C1B74"/>
    <w:multiLevelType w:val="hybridMultilevel"/>
    <w:tmpl w:val="E5BCE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147B7"/>
    <w:rsid w:val="00032332"/>
    <w:rsid w:val="00036335"/>
    <w:rsid w:val="00043C1F"/>
    <w:rsid w:val="00050CA6"/>
    <w:rsid w:val="000769D6"/>
    <w:rsid w:val="00080389"/>
    <w:rsid w:val="00082175"/>
    <w:rsid w:val="00082EA9"/>
    <w:rsid w:val="00084D99"/>
    <w:rsid w:val="00085293"/>
    <w:rsid w:val="000A244E"/>
    <w:rsid w:val="000C15D1"/>
    <w:rsid w:val="000E43FB"/>
    <w:rsid w:val="000F0BDF"/>
    <w:rsid w:val="000F2C6E"/>
    <w:rsid w:val="000F3C9E"/>
    <w:rsid w:val="00120449"/>
    <w:rsid w:val="00125C41"/>
    <w:rsid w:val="001500F5"/>
    <w:rsid w:val="00164EEA"/>
    <w:rsid w:val="001650F2"/>
    <w:rsid w:val="00173AF8"/>
    <w:rsid w:val="00183204"/>
    <w:rsid w:val="001866C9"/>
    <w:rsid w:val="001C1344"/>
    <w:rsid w:val="001E0421"/>
    <w:rsid w:val="001E0642"/>
    <w:rsid w:val="0021033B"/>
    <w:rsid w:val="00216073"/>
    <w:rsid w:val="00240ECD"/>
    <w:rsid w:val="002427F8"/>
    <w:rsid w:val="00262CC6"/>
    <w:rsid w:val="002B2ABA"/>
    <w:rsid w:val="002B5ACB"/>
    <w:rsid w:val="002C0556"/>
    <w:rsid w:val="002C1C3D"/>
    <w:rsid w:val="002D3C87"/>
    <w:rsid w:val="002D4462"/>
    <w:rsid w:val="002E2A93"/>
    <w:rsid w:val="002E5A7B"/>
    <w:rsid w:val="002E66BB"/>
    <w:rsid w:val="002F009A"/>
    <w:rsid w:val="00304319"/>
    <w:rsid w:val="00326C91"/>
    <w:rsid w:val="00364DD9"/>
    <w:rsid w:val="00382CFF"/>
    <w:rsid w:val="003A3CF6"/>
    <w:rsid w:val="003B2AC5"/>
    <w:rsid w:val="003B4EE5"/>
    <w:rsid w:val="003F7320"/>
    <w:rsid w:val="004033D4"/>
    <w:rsid w:val="004055B5"/>
    <w:rsid w:val="00436474"/>
    <w:rsid w:val="0046386E"/>
    <w:rsid w:val="00485222"/>
    <w:rsid w:val="004C030E"/>
    <w:rsid w:val="004C4E66"/>
    <w:rsid w:val="004D31BF"/>
    <w:rsid w:val="004F0288"/>
    <w:rsid w:val="004F71B2"/>
    <w:rsid w:val="004F773E"/>
    <w:rsid w:val="00500B9A"/>
    <w:rsid w:val="00514C70"/>
    <w:rsid w:val="00530A02"/>
    <w:rsid w:val="005464D8"/>
    <w:rsid w:val="00551202"/>
    <w:rsid w:val="00557569"/>
    <w:rsid w:val="00560864"/>
    <w:rsid w:val="005657E4"/>
    <w:rsid w:val="00596634"/>
    <w:rsid w:val="005A022C"/>
    <w:rsid w:val="005A7B57"/>
    <w:rsid w:val="005D6E5E"/>
    <w:rsid w:val="005E7360"/>
    <w:rsid w:val="005F7420"/>
    <w:rsid w:val="00616E59"/>
    <w:rsid w:val="0062184D"/>
    <w:rsid w:val="00651E5E"/>
    <w:rsid w:val="00656DD9"/>
    <w:rsid w:val="006777E5"/>
    <w:rsid w:val="00695AA1"/>
    <w:rsid w:val="0069750F"/>
    <w:rsid w:val="006B5881"/>
    <w:rsid w:val="006E31FF"/>
    <w:rsid w:val="006E774D"/>
    <w:rsid w:val="00705CA0"/>
    <w:rsid w:val="0071704A"/>
    <w:rsid w:val="007230C8"/>
    <w:rsid w:val="007236BB"/>
    <w:rsid w:val="00736911"/>
    <w:rsid w:val="00740D48"/>
    <w:rsid w:val="00744D12"/>
    <w:rsid w:val="00776E1A"/>
    <w:rsid w:val="00783A6A"/>
    <w:rsid w:val="0078700D"/>
    <w:rsid w:val="007A5B98"/>
    <w:rsid w:val="007C4048"/>
    <w:rsid w:val="007F0C62"/>
    <w:rsid w:val="00811776"/>
    <w:rsid w:val="008171F3"/>
    <w:rsid w:val="00853114"/>
    <w:rsid w:val="00853779"/>
    <w:rsid w:val="00895C54"/>
    <w:rsid w:val="008972A6"/>
    <w:rsid w:val="008A5D62"/>
    <w:rsid w:val="008B4ED5"/>
    <w:rsid w:val="008D5699"/>
    <w:rsid w:val="008E329F"/>
    <w:rsid w:val="00906680"/>
    <w:rsid w:val="00917B5E"/>
    <w:rsid w:val="00947FBB"/>
    <w:rsid w:val="009575BE"/>
    <w:rsid w:val="009577CD"/>
    <w:rsid w:val="009726C2"/>
    <w:rsid w:val="00974A54"/>
    <w:rsid w:val="00974BA0"/>
    <w:rsid w:val="009826B6"/>
    <w:rsid w:val="009928B9"/>
    <w:rsid w:val="009B0425"/>
    <w:rsid w:val="009C02EC"/>
    <w:rsid w:val="009C15BF"/>
    <w:rsid w:val="009D5FEE"/>
    <w:rsid w:val="009F4BFE"/>
    <w:rsid w:val="00A17394"/>
    <w:rsid w:val="00A3584D"/>
    <w:rsid w:val="00A3739B"/>
    <w:rsid w:val="00A37DA7"/>
    <w:rsid w:val="00A617CC"/>
    <w:rsid w:val="00A657C8"/>
    <w:rsid w:val="00A751E2"/>
    <w:rsid w:val="00A77270"/>
    <w:rsid w:val="00A77EDC"/>
    <w:rsid w:val="00A84DCD"/>
    <w:rsid w:val="00A862D3"/>
    <w:rsid w:val="00AB3C32"/>
    <w:rsid w:val="00AE5D36"/>
    <w:rsid w:val="00B01BDF"/>
    <w:rsid w:val="00B03584"/>
    <w:rsid w:val="00B17273"/>
    <w:rsid w:val="00B2755B"/>
    <w:rsid w:val="00B326EE"/>
    <w:rsid w:val="00B347FC"/>
    <w:rsid w:val="00B405D2"/>
    <w:rsid w:val="00B60FAB"/>
    <w:rsid w:val="00B67724"/>
    <w:rsid w:val="00BE1FD5"/>
    <w:rsid w:val="00BE6FEB"/>
    <w:rsid w:val="00C305FC"/>
    <w:rsid w:val="00C8108A"/>
    <w:rsid w:val="00C93104"/>
    <w:rsid w:val="00C9373B"/>
    <w:rsid w:val="00C97B73"/>
    <w:rsid w:val="00CA2094"/>
    <w:rsid w:val="00CC22F6"/>
    <w:rsid w:val="00CC6DB2"/>
    <w:rsid w:val="00CF1223"/>
    <w:rsid w:val="00D02011"/>
    <w:rsid w:val="00D12200"/>
    <w:rsid w:val="00D12DC4"/>
    <w:rsid w:val="00D429BD"/>
    <w:rsid w:val="00D45F0B"/>
    <w:rsid w:val="00D56088"/>
    <w:rsid w:val="00D84C92"/>
    <w:rsid w:val="00D876CD"/>
    <w:rsid w:val="00DA3147"/>
    <w:rsid w:val="00DA5D62"/>
    <w:rsid w:val="00DC1854"/>
    <w:rsid w:val="00DC32D5"/>
    <w:rsid w:val="00DC7073"/>
    <w:rsid w:val="00DD2B56"/>
    <w:rsid w:val="00DE2777"/>
    <w:rsid w:val="00DE540E"/>
    <w:rsid w:val="00DF565C"/>
    <w:rsid w:val="00E1166E"/>
    <w:rsid w:val="00E3477B"/>
    <w:rsid w:val="00E40C39"/>
    <w:rsid w:val="00E53756"/>
    <w:rsid w:val="00E5569E"/>
    <w:rsid w:val="00E84AED"/>
    <w:rsid w:val="00E86126"/>
    <w:rsid w:val="00EA4069"/>
    <w:rsid w:val="00EB007B"/>
    <w:rsid w:val="00EB1627"/>
    <w:rsid w:val="00EC68C2"/>
    <w:rsid w:val="00ED220F"/>
    <w:rsid w:val="00ED3D76"/>
    <w:rsid w:val="00EE02F4"/>
    <w:rsid w:val="00EE2755"/>
    <w:rsid w:val="00EF7F5A"/>
    <w:rsid w:val="00F064AD"/>
    <w:rsid w:val="00F33D2C"/>
    <w:rsid w:val="00F33E25"/>
    <w:rsid w:val="00F35099"/>
    <w:rsid w:val="00F42AB1"/>
    <w:rsid w:val="00F60D39"/>
    <w:rsid w:val="00F75926"/>
    <w:rsid w:val="00F874E6"/>
    <w:rsid w:val="00F94DF2"/>
    <w:rsid w:val="00F978D0"/>
    <w:rsid w:val="00FA777D"/>
    <w:rsid w:val="00FA7D39"/>
    <w:rsid w:val="00F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table" w:styleId="TabloKlavuzu">
    <w:name w:val="Table Grid"/>
    <w:basedOn w:val="NormalTablo"/>
    <w:uiPriority w:val="59"/>
    <w:rsid w:val="008B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E275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E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381B-FB1B-4E25-87A6-52F353B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4</cp:revision>
  <cp:lastPrinted>2014-06-25T06:37:00Z</cp:lastPrinted>
  <dcterms:created xsi:type="dcterms:W3CDTF">2014-06-24T13:55:00Z</dcterms:created>
  <dcterms:modified xsi:type="dcterms:W3CDTF">2014-12-02T07:55:00Z</dcterms:modified>
</cp:coreProperties>
</file>