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2D0934" w:rsidRDefault="00C93104" w:rsidP="00F63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2D0934" w:rsidRDefault="00C93104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MONODOKS 100 mg </w:t>
      </w:r>
      <w:r w:rsidRPr="002D0934">
        <w:rPr>
          <w:rFonts w:ascii="Times New Roman" w:hAnsi="Times New Roman" w:cs="Times New Roman"/>
          <w:sz w:val="24"/>
          <w:szCs w:val="24"/>
        </w:rPr>
        <w:t>kapsül</w:t>
      </w: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FA1101" w:rsidRPr="002D0934" w:rsidRDefault="00FA1101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>Her kapsül</w:t>
      </w:r>
      <w:r w:rsidR="00640AF6" w:rsidRPr="002D0934">
        <w:rPr>
          <w:rFonts w:ascii="Times New Roman" w:hAnsi="Times New Roman" w:cs="Times New Roman"/>
          <w:sz w:val="24"/>
          <w:szCs w:val="24"/>
        </w:rPr>
        <w:t>;</w:t>
      </w:r>
    </w:p>
    <w:p w:rsidR="0016050D" w:rsidRPr="002D0934" w:rsidRDefault="00043C1F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Etkin madde:</w:t>
      </w:r>
      <w:r w:rsidR="00076C87" w:rsidRPr="002D09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</w:p>
    <w:p w:rsidR="00043C1F" w:rsidRPr="002D0934" w:rsidRDefault="00640AF6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100 mg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Doksisiklin’e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eş</w:t>
      </w:r>
      <w:r w:rsidR="00FA1101" w:rsidRPr="002D0934">
        <w:rPr>
          <w:rFonts w:ascii="Times New Roman" w:eastAsia="Calibri" w:hAnsi="Times New Roman" w:cs="Times New Roman"/>
          <w:sz w:val="24"/>
          <w:szCs w:val="24"/>
        </w:rPr>
        <w:t xml:space="preserve">değer 112 mg </w:t>
      </w:r>
      <w:proofErr w:type="spellStart"/>
      <w:r w:rsidR="00FA1101" w:rsidRPr="002D0934">
        <w:rPr>
          <w:rFonts w:ascii="Times New Roman" w:eastAsia="Calibri" w:hAnsi="Times New Roman" w:cs="Times New Roman"/>
          <w:sz w:val="24"/>
          <w:szCs w:val="24"/>
        </w:rPr>
        <w:t>doksisiklin</w:t>
      </w:r>
      <w:proofErr w:type="spellEnd"/>
      <w:r w:rsidR="00FA1101" w:rsidRPr="002D0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1101" w:rsidRPr="002D0934">
        <w:rPr>
          <w:rFonts w:ascii="Times New Roman" w:eastAsia="Calibri" w:hAnsi="Times New Roman" w:cs="Times New Roman"/>
          <w:sz w:val="24"/>
          <w:szCs w:val="24"/>
        </w:rPr>
        <w:t>hiklat</w:t>
      </w:r>
      <w:bookmarkEnd w:id="0"/>
      <w:bookmarkEnd w:id="1"/>
      <w:proofErr w:type="spellEnd"/>
      <w:r w:rsidR="00076C87" w:rsidRPr="002D0934">
        <w:rPr>
          <w:rFonts w:ascii="Times New Roman" w:eastAsia="Calibri" w:hAnsi="Times New Roman" w:cs="Times New Roman"/>
          <w:sz w:val="24"/>
          <w:szCs w:val="24"/>
        </w:rPr>
        <w:t xml:space="preserve"> içermektedir.</w:t>
      </w:r>
    </w:p>
    <w:p w:rsidR="00FA1101" w:rsidRPr="002D0934" w:rsidRDefault="00FA1101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3C1F" w:rsidRPr="002D0934" w:rsidRDefault="00640AF6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Yardımcı maddeler</w:t>
      </w:r>
      <w:r w:rsidR="00043C1F" w:rsidRPr="002D0934">
        <w:rPr>
          <w:rFonts w:ascii="Times New Roman" w:hAnsi="Times New Roman" w:cs="Times New Roman"/>
          <w:b/>
          <w:sz w:val="24"/>
          <w:szCs w:val="24"/>
        </w:rPr>
        <w:t>:</w:t>
      </w:r>
    </w:p>
    <w:p w:rsidR="00640AF6" w:rsidRPr="002D0934" w:rsidRDefault="00640AF6" w:rsidP="00CD166C">
      <w:pPr>
        <w:tabs>
          <w:tab w:val="righ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>Laktoz</w:t>
      </w:r>
      <w:r w:rsidRPr="002D0934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="00FE7B45" w:rsidRPr="002D0934">
        <w:rPr>
          <w:rFonts w:ascii="Times New Roman" w:hAnsi="Times New Roman" w:cs="Times New Roman"/>
          <w:sz w:val="24"/>
          <w:szCs w:val="24"/>
        </w:rPr>
        <w:t>82.0</w:t>
      </w:r>
      <w:proofErr w:type="gramEnd"/>
      <w:r w:rsidRPr="002D0934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640AF6" w:rsidRPr="002D0934" w:rsidRDefault="00640AF6" w:rsidP="00CD166C">
      <w:pPr>
        <w:tabs>
          <w:tab w:val="righ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Sodyum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lauril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sülfat</w:t>
      </w:r>
      <w:r w:rsidRPr="002D0934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proofErr w:type="gramStart"/>
      <w:r w:rsidR="00FA1101" w:rsidRPr="002D0934">
        <w:rPr>
          <w:rFonts w:ascii="Times New Roman" w:eastAsia="Calibri" w:hAnsi="Times New Roman" w:cs="Times New Roman"/>
          <w:sz w:val="24"/>
          <w:szCs w:val="24"/>
        </w:rPr>
        <w:t>1.0</w:t>
      </w:r>
      <w:proofErr w:type="gramEnd"/>
      <w:r w:rsidR="00FA1101" w:rsidRPr="002D0934">
        <w:rPr>
          <w:rFonts w:ascii="Times New Roman" w:eastAsia="Calibri" w:hAnsi="Times New Roman" w:cs="Times New Roman"/>
          <w:sz w:val="24"/>
          <w:szCs w:val="24"/>
        </w:rPr>
        <w:t xml:space="preserve"> mg</w:t>
      </w:r>
    </w:p>
    <w:p w:rsidR="00640AF6" w:rsidRPr="002D0934" w:rsidRDefault="00CD166C" w:rsidP="00CD166C">
      <w:pPr>
        <w:tabs>
          <w:tab w:val="righ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hAnsi="Times New Roman" w:cs="Times New Roman"/>
          <w:sz w:val="24"/>
          <w:szCs w:val="24"/>
        </w:rPr>
        <w:t>Tartrazin</w:t>
      </w:r>
      <w:proofErr w:type="spellEnd"/>
      <w:r w:rsidRPr="002D0934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="00F65841" w:rsidRPr="002D0934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="00F65841" w:rsidRPr="002D0934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640AF6" w:rsidRPr="002D0934" w:rsidRDefault="00640AF6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Yardımcı maddeler için, Bkz. </w:t>
      </w:r>
      <w:proofErr w:type="gramStart"/>
      <w:r w:rsidRPr="002D0934">
        <w:rPr>
          <w:rFonts w:ascii="Times New Roman" w:eastAsia="Calibri" w:hAnsi="Times New Roman" w:cs="Times New Roman"/>
          <w:sz w:val="24"/>
          <w:szCs w:val="24"/>
        </w:rPr>
        <w:t>6.1</w:t>
      </w:r>
      <w:proofErr w:type="gramEnd"/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FARMAS</w:t>
      </w:r>
      <w:r w:rsidR="00FE7B45" w:rsidRPr="002D0934">
        <w:rPr>
          <w:rFonts w:ascii="Times New Roman" w:hAnsi="Times New Roman" w:cs="Times New Roman"/>
          <w:b/>
          <w:sz w:val="24"/>
          <w:szCs w:val="24"/>
        </w:rPr>
        <w:t>Ö</w:t>
      </w:r>
      <w:r w:rsidRPr="002D0934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076C87" w:rsidRPr="002D0934" w:rsidRDefault="00076C87" w:rsidP="00DA1DF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Kapsül;</w:t>
      </w:r>
    </w:p>
    <w:p w:rsidR="00076C87" w:rsidRPr="002D0934" w:rsidRDefault="00076C87" w:rsidP="00DA1DF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Gövde koyu sarı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opak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, kapak kızıl kahverengi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opak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, sert </w:t>
      </w:r>
      <w:proofErr w:type="gramStart"/>
      <w:r w:rsidRPr="002D0934">
        <w:rPr>
          <w:rFonts w:ascii="Times New Roman" w:eastAsia="Calibri" w:hAnsi="Times New Roman" w:cs="Times New Roman"/>
          <w:sz w:val="24"/>
          <w:szCs w:val="24"/>
        </w:rPr>
        <w:t>jelatin</w:t>
      </w:r>
      <w:proofErr w:type="gram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kapsüller içinde, sarı renkli hemen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hemen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kokusuz, homojen görünüşlü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granüler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toz.</w:t>
      </w:r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Terapötik endikasyonlar</w:t>
      </w:r>
    </w:p>
    <w:p w:rsidR="00076C87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, aşağıda belirtilen Gram-negatif ve Gram-pozitif bakterilerin ve diğer</w:t>
      </w:r>
      <w:r w:rsidR="0016050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mikroorganizmaların etken olduğu 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enfeksiyonların</w:t>
      </w:r>
      <w:proofErr w:type="gram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tedavisinde endikedir:</w:t>
      </w: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Solunum sistemi: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Yersinia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pestis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Actinobacillus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actinomyecelemcomilam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Haemophilus</w:t>
      </w:r>
      <w:proofErr w:type="spellEnd"/>
      <w:r w:rsidR="00C66C6E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influenzae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Diplococcus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pneumoniae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aureus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Klebsiella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türleri ve </w:t>
      </w:r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Streptokok</w:t>
      </w:r>
      <w:r w:rsidR="00C66C6E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türleri (organizmanın duyarlı olduğu gösterilirse) ile gelişen solunum sistemi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enfeksiyonlarının</w:t>
      </w:r>
      <w:proofErr w:type="gramEnd"/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tedavisinde endikedir. Solunum yolu ile alınan şarbonda (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aerosolize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Bacillus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anthracis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)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maruz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kalma sonrası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insidans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progresyonu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azaltmak için kullanılır.</w:t>
      </w: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DA1DF2" w:rsidP="00DA1D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Ürogenital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sistem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Heaemophilus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ducrei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(yumuşak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şankr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),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Brucella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tü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rleri (streptomisin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ile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beraber kullanılır),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Actinobacillus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actinomyecelemcomilam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Enterobacter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aerogenes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,</w:t>
      </w:r>
      <w:r w:rsidR="00C66C6E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Escherichia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coli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Klebsiella</w:t>
      </w:r>
      <w:proofErr w:type="spellEnd"/>
      <w:r w:rsidR="00076C87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türleri ile gelişen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ürogenital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Deri ve yumu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ak doku: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Yersinia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pestis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Francisella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tularensis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Bartonella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bacilliformis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,</w:t>
      </w:r>
      <w:r w:rsidR="00C66C6E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aureus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Bacillus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anthracis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mikroorganizmaları ile geli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şen deri ve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yumu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şa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doku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enfeksiyonları</w:t>
      </w:r>
      <w:proofErr w:type="gramEnd"/>
    </w:p>
    <w:p w:rsidR="00C66C6E" w:rsidRPr="002D0934" w:rsidRDefault="00C66C6E" w:rsidP="00DA1DF2">
      <w:p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16E59" w:rsidRPr="002D0934" w:rsidRDefault="00076C87" w:rsidP="00DA1DF2">
      <w:pPr>
        <w:pStyle w:val="ListeParagraf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Gastrointestinal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sistem: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Vibrio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cholerae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ve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Shigella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rleri ile geli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en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</w:p>
    <w:p w:rsidR="00C66C6E" w:rsidRPr="002D0934" w:rsidRDefault="00C66C6E" w:rsidP="00DA1D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6C87" w:rsidRPr="002D0934" w:rsidRDefault="00C66C6E" w:rsidP="00DA1D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itli diğer 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Campylobacter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fetus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Mima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rleri ve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Herellea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rleri ile geli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nfeksiyonlar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A1DF2" w:rsidRPr="002D093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A1DF2" w:rsidRPr="002D093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A1DF2" w:rsidRPr="002D0934" w:rsidRDefault="00DA1DF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lastRenderedPageBreak/>
        <w:t>A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ağıdaki mikroorganizmaların etken olduğu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, penisilinin kontrendike olması</w:t>
      </w: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durumunda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alternatif tedavi olarak kullanılabilir: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Treponema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pallidum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Treponema</w:t>
      </w:r>
      <w:proofErr w:type="spellEnd"/>
      <w:r w:rsidR="00C66C6E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perfenne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Listeria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monocytogenes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rleri,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Fusobacterium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fusiforme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Vincent</w:t>
      </w:r>
      <w:proofErr w:type="spellEnd"/>
      <w:r w:rsidR="00C66C6E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enfeksiyonu),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Actinomyces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rleri.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duyarlı mikroorganizmaların etken olduğu: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rogenital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sistem, (duyarlı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rleri,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rleri,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42F9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ve diğer mikroorganizmalar ile geli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en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rogenital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enfeksiyonlar)</w:t>
      </w:r>
      <w:r w:rsidR="00442F9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Cinsel yolla bula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an hastalıklar 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proofErr w:type="gram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trachomatis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’in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neden olduğu komplikasyonsuz</w:t>
      </w:r>
      <w:r w:rsidR="00442F9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retral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endoservikal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veya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rektal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enfeksiyonlar [erkeklerdeki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ano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rektal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enfeksiyonlar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hari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],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Ureaplasma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urealyticum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[T-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mikoplazma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] nedenli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non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gonokokal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retrit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ankroid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,</w:t>
      </w:r>
      <w:r w:rsidR="00442F9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gran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loma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inguinale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lenfogran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loma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venereum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enfeksiyonlarında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endikedir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76C87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ayrıca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gonore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sifiliz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tedavisinde de alternatif olarak kullanılabilir,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gonorrhoeae'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nın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 olduğu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gonokokal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artrit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-dermatit sendromu ve akut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epididimoor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it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tedavisinde de kullanılabilir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Solunum sistemi,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Pn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moni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duyarlı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442F9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ve diğer mikroorganizmalar ile geli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en alt solunum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yolu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enfeksiyonları.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Mycoplasma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pn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monisi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. Kronik bron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it ve sin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zit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tedavisi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End"/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Deri ve yumu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ak doku (Antibiyotik tedavisinin gerekli g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ld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ğ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akne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vulgaris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vakalarında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yardımcı tedavi olarak)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Gastrointestinal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(Kolera, akut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intestinal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amibiyazis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[diğer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antiamibik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ila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lara ek olarak],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turist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diyaresi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C66C6E" w:rsidRPr="002D0934" w:rsidRDefault="00C66C6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076C8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Oftalmik (Duyarlı gonokok, stafilokok ve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su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geli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en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trahom,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inkl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konjonktiviti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[tek ba</w:t>
      </w:r>
      <w:r w:rsidR="00C66C6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ına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veya diğer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topikal ajanlar ile kombine olarak kullanılabilir])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76C87" w:rsidRPr="002D0934" w:rsidRDefault="00F911D1" w:rsidP="004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Çeş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itli diğer enfeksiyonlar </w:t>
      </w:r>
      <w:proofErr w:type="gram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proofErr w:type="gram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Rickettsiae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(Kayalık dağlar benekli humması, tif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s ate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 ve tif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grubu hastalıklar, Q ate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i, bit ve kene ate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i),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Psittakoz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Ornitroz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etkenleri </w:t>
      </w:r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psitîaci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Borrelia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recurrentis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Bruselloz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(streptomisin ile kombine), veba,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tularemi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klorokine</w:t>
      </w:r>
      <w:proofErr w:type="spellEnd"/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diren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li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falciparum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>malaria</w:t>
      </w:r>
      <w:proofErr w:type="spellEnd"/>
      <w:r w:rsidR="00076C87" w:rsidRPr="002D09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(sıtma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proflaksisi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, diren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geli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imi problemi nedeni ile ge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erli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kılavuzlara g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re uygulanmalıdır.) yanı sıra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leptospiroz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, gazlı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gangren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ve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tetanoz</w:t>
      </w:r>
      <w:proofErr w:type="spellEnd"/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 xml:space="preserve"> 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076C87" w:rsidRPr="002D0934">
        <w:rPr>
          <w:rFonts w:ascii="Times New Roman" w:eastAsia="TimesNewRoman" w:hAnsi="Times New Roman" w:cs="Times New Roman"/>
          <w:sz w:val="24"/>
          <w:szCs w:val="24"/>
        </w:rPr>
        <w:t>in de alternatif tedavidir.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Pozoloji ve uygulama şekli</w:t>
      </w: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Pozoloji/uygulama sıklığı ve süresi:</w:t>
      </w:r>
    </w:p>
    <w:p w:rsidR="00616E59" w:rsidRPr="002D0934" w:rsidRDefault="00F911D1" w:rsidP="0044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Tedavinin ilk gününde günde tek doz 200 mg veya 12 saatte bir 100 mg ve bunu takip eden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günlerde günde bir kez 100 mg'dır. Bu idame tedavisi günde tek doz veya 12 saatte bir 50 mg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olarak uygulanabilir. Özellikle üriner sistemin kronik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enfeksiyonlarında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, günde 200 mg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(12 saatte bir 100 mg) uygulanması önerilir.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Spesifik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enfeksiyonlardaki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doz önerileri: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Erişkinlerde,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komplikasyonsuz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gonokok enfeksiyonlarında (erkeklerdeki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anorektal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enfeksiyonlar hariç) 7 gün süreyle günde 2 kez 100 mg uygulanmalıdır. Bir farklı seçenek de tek kullanımlık dozdur. 300 mg’lık başlangıç dozunu takiben 1 saat sonra verilen ikinci 300 mg’lık dozdur.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Neisseria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gonorrhoeae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 olduğu akut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epididimoor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vakalarında, en az 10 gün süreyle, günde 2 kez 100 mg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uygulanır.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Primer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sekonder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sifilizde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en az 10 gün süreyle, eşit bölünmüş dozlarda günde 300 mg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uygulanmalıdır.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Streptokok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enfeksiyonlarında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kullanıldığında, tedaviye en az 10 gün süreyle devam edilmelidir.</w:t>
      </w:r>
    </w:p>
    <w:p w:rsidR="00442F97" w:rsidRPr="002D0934" w:rsidRDefault="00442F97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Chlamydia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trachomatis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 olduğu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komplikasyonsuz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üretral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endoservikal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rektal</w:t>
      </w:r>
      <w:proofErr w:type="spellEnd"/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enfeksiyonlar ve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Chlamydia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trachomatis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ve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Ureaplasma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urealyticum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'un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 olduğu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nongonokokal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üretrit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vakalarında, en az 7 gün süreyle günde 2 kez 100 mg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verilmelidir.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Chlamydia</w:t>
      </w:r>
      <w:proofErr w:type="spellEnd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trachomatis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bağlı akut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epididimoorşit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vakalarında en az 10 gün süreyle, günde 2 kez 100 mg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uygulanır.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Toplum kökenli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pn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moni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nde 2 kez 100 mg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uygulanır.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Solunum yolu ile alınan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arbon (maruz kalma sonrası): Eri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kinlerde g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 2 kez 100 mg, 60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boyunca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Borrelia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'nın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etken olduğu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Lyme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hastalığında 14-21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 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reyle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 2 kez 100 mg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uygulanır.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Akne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vulgaris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tedavisinde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nde 50 mg 6-12 hafta devam edilmesi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Bit ve kene nedenli tekrarlayan ate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ler: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iddete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 100 veya 200 mg tek doz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Klorokine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diren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falciparum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malaria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tedavisi: 200mg g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ün dozları en az 7 gü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 kullanılır.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Enfeksiyonun şiddetine gö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e, kinin gibi hızlı etkili bir </w:t>
      </w:r>
      <w:proofErr w:type="spellStart"/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izontisid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mutlaka tedaviye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eklenmelidir. Kininin doz önerileri yöresel farklılık gö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sterir.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Sıtma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proflaksisi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: Eri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kinlerde 100 mg/g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nerilir.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Proflaksi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sıtma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lgelerine seyahatten 1-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2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nce ba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lanır. Sıtma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lgesindeki seyahat 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resince ve sıtma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lgesi terk edildikten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sonra 4 hafta boyunca kullanıma devam edilir. Diren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geli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imi problemi nedeni ile coğrafi</w:t>
      </w:r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diren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paternleri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uygun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kemoproflaksi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kılavuzları veya Sıtma Referans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Laboratuvarı’nın</w:t>
      </w:r>
      <w:proofErr w:type="spellEnd"/>
      <w:r w:rsidR="00442F9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nerileri dikkate alınmalıdır.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F911D1" w:rsidRPr="002D0934">
        <w:rPr>
          <w:rFonts w:ascii="Times New Roman" w:eastAsia="TimesNewRoman" w:hAnsi="Times New Roman" w:cs="Times New Roman"/>
          <w:sz w:val="24"/>
          <w:szCs w:val="24"/>
        </w:rPr>
        <w:t>alı tif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F911D1"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F911D1" w:rsidRPr="002D0934">
        <w:rPr>
          <w:rFonts w:ascii="Times New Roman" w:eastAsia="TimesNewRoman" w:hAnsi="Times New Roman" w:cs="Times New Roman"/>
          <w:sz w:val="24"/>
          <w:szCs w:val="24"/>
        </w:rPr>
        <w:t xml:space="preserve"> 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F911D1" w:rsidRPr="002D0934">
        <w:rPr>
          <w:rFonts w:ascii="Times New Roman" w:eastAsia="TimesNewRoman" w:hAnsi="Times New Roman" w:cs="Times New Roman"/>
          <w:sz w:val="24"/>
          <w:szCs w:val="24"/>
        </w:rPr>
        <w:t xml:space="preserve">in tek doz 200 mg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="00F911D1"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Eri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kinlerdeki turist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diyaresinin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nlenmesi 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in, seyahatin ba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ladığı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 200 mg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tek doz veya</w:t>
      </w:r>
    </w:p>
    <w:p w:rsidR="00F911D1" w:rsidRPr="002D0934" w:rsidRDefault="00F911D1" w:rsidP="0048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12 saatte bir 100 mg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alınmasını takiben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lgedeki kalım 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resince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 100 mg alınması</w:t>
      </w:r>
      <w:r w:rsidR="004800FB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 Bu ama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 21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zerinde kullanımı hakkında bilgi yoktur.</w:t>
      </w:r>
    </w:p>
    <w:p w:rsidR="00452B72" w:rsidRPr="002D0934" w:rsidRDefault="00452B72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48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Leptospirosis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nlenmesi 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lgedeki kalım 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resince her haftada bir 200 mg ve seyahatin</w:t>
      </w:r>
      <w:r w:rsidR="004800FB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bitiminde de 200 mg alınır. Bu ama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 21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nden uzun kullanımı hakkında bilgi yoktur.</w:t>
      </w:r>
    </w:p>
    <w:p w:rsidR="00452B72" w:rsidRPr="002D0934" w:rsidRDefault="00452B72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0FB" w:rsidRPr="002D0934" w:rsidRDefault="004800F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lastRenderedPageBreak/>
        <w:t>Uygulama şekli:</w:t>
      </w:r>
    </w:p>
    <w:p w:rsidR="00452B72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Oral olarak kullanılan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 ila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bol sıvı ile alınması ve en azından 30 dakika dik</w:t>
      </w:r>
      <w:r w:rsidR="00FA1101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oturulması </w:t>
      </w:r>
      <w:proofErr w:type="spellStart"/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zofagusta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iritasyon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ya da </w:t>
      </w:r>
      <w:proofErr w:type="spellStart"/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lserasyon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riskini azaltır.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Gastrik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iritasyon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olduğunda</w:t>
      </w:r>
      <w:r w:rsidR="00FA1101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800FB" w:rsidRPr="002D0934">
        <w:rPr>
          <w:rFonts w:ascii="Times New Roman" w:eastAsia="TimesNewRoman" w:hAnsi="Times New Roman" w:cs="Times New Roman"/>
          <w:sz w:val="24"/>
          <w:szCs w:val="24"/>
        </w:rPr>
        <w:t>'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un yemek veya 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tle alınması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nerilir.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4800FB" w:rsidRPr="002D0934">
        <w:rPr>
          <w:rFonts w:ascii="Times New Roman" w:eastAsia="TimesNewRoman" w:hAnsi="Times New Roman" w:cs="Times New Roman"/>
          <w:sz w:val="24"/>
          <w:szCs w:val="24"/>
        </w:rPr>
        <w:t xml:space="preserve"> ’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un emilimi yemekler ya da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tle birlikte alınması</w:t>
      </w:r>
      <w:r w:rsidR="00FA1101" w:rsidRPr="002D0934">
        <w:rPr>
          <w:rFonts w:ascii="Times New Roman" w:eastAsia="TimesNewRoman" w:hAnsi="Times New Roman" w:cs="Times New Roman"/>
          <w:sz w:val="24"/>
          <w:szCs w:val="24"/>
        </w:rPr>
        <w:t>ndan belirgin olarak etkilenmez.</w:t>
      </w:r>
    </w:p>
    <w:p w:rsidR="004800FB" w:rsidRPr="002D0934" w:rsidRDefault="004800F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2D0934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2D0934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616E59" w:rsidRPr="002D0934" w:rsidRDefault="00452B72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Böbrek/Karaciğer yetmezliği:</w:t>
      </w: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Böbrek yetmezliği:</w:t>
      </w:r>
    </w:p>
    <w:p w:rsidR="00F911D1" w:rsidRPr="002D0934" w:rsidRDefault="00F911D1" w:rsidP="00EF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antianabolik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etkisi BUN artı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ına neden olabilir. Bug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kadar yapılmı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alı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malar,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mutad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dozlarda uygulanan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'un b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brek fonksiyon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bozukluğu olan hastalarda kullanımının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ak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lasyona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neden olmadığını g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stermi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452B72" w:rsidRPr="002D0934" w:rsidRDefault="00452B72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D1" w:rsidRPr="002D0934" w:rsidRDefault="00F911D1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Karaciğer yetmezliği:</w:t>
      </w:r>
    </w:p>
    <w:p w:rsidR="00616E59" w:rsidRPr="002D0934" w:rsidRDefault="00F911D1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Ciddi karaciğer yetmezliğinde kullanılmamalıdır.</w:t>
      </w:r>
    </w:p>
    <w:p w:rsidR="00452B72" w:rsidRPr="002D0934" w:rsidRDefault="00452B72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2D0934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2D0934">
        <w:rPr>
          <w:rFonts w:ascii="Times New Roman" w:hAnsi="Times New Roman" w:cs="Times New Roman"/>
          <w:b/>
          <w:sz w:val="24"/>
          <w:szCs w:val="24"/>
        </w:rPr>
        <w:t>: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8 ya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ın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zerindeki </w:t>
      </w:r>
      <w:r w:rsidR="00452B72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ocuklar: V</w:t>
      </w:r>
      <w:r w:rsidR="00174167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cut ağırlığı 45 kg ve altında olan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ocuklarda, ilk 24 saatte iki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doza b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nm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4.4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mg/kg ve bunu takip eden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nlerde 2.2 mg/kg, eri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kinlere uygulanan doz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aralıklarına b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nm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olarak ve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 200 mg'ı ge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meyecek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ekilde uygulanır. Daha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iddetli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enfeksiyonlarda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nde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4.4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mg/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kg'a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kadar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ıkılabilir. 45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kg'ın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zerindeki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ocuklara ise normal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eri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kin dozları uygulanır.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Solunum yolu ile alınan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arbon (maruz kalma sonrası):</w:t>
      </w: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45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kg'ın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altında olanlarda; 60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 boyunca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nde iki kez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2.2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mg/kg, 45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kg'ın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zerindeki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ocuklara ise eri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kin dozu uygulanır.</w:t>
      </w:r>
    </w:p>
    <w:p w:rsidR="00452B72" w:rsidRPr="002D0934" w:rsidRDefault="00452B72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sınıfı ila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di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geli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imi sırasında kullanılması (bebeklik ve 8 ya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ına kadar olan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ocuklukta) di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renginin kalıcı olarak bozulmasına (sarı, gri, kahverengi) neden olabilir. Bu advers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reaksiyon, ila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uzun d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nem kullanımlarında daha yaygındır, ancak tekrarlanan kısa d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nem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tedavilerde de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zlenmi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Mine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hipoplazisi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de bildirilmi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Bundan dolayı,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sınıfı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ila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lar, bu ya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gruplarında,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arbon dı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ında, ancak diğer ila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etkisiz kalması veya kontrendike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olması du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rumunda kullanılmalıdır. (Bk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. B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4.4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911D1" w:rsidRPr="002D0934" w:rsidRDefault="00F911D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Diğer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gibi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de kemik olu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turan dokularda sabit kalsiyum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kompleksi</w:t>
      </w:r>
      <w:proofErr w:type="gram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meydana getirir. 6 saatte bir 25 mg/kg dozlarında oral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verilen premat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relerde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fibula</w:t>
      </w:r>
      <w:proofErr w:type="spell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me oranında bir azalma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zlenmi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kesildiğinde bu reaksiyonun geri d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ml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olduğu g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sterilmi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BA7935" w:rsidRPr="002D0934" w:rsidRDefault="00BA7935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16E59" w:rsidRPr="002D0934" w:rsidRDefault="00F911D1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Bebeklerde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fontanel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kabarıklığı bildirilmi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laca son verilince bu bulgu kaybolur.</w:t>
      </w:r>
    </w:p>
    <w:p w:rsidR="00BA7935" w:rsidRPr="002D0934" w:rsidRDefault="00BA7935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2D0934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2D0934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2D0934" w:rsidRDefault="00F911D1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Doz ayarlamasını gerektirecek klinik veri mevcut değildir.</w:t>
      </w:r>
    </w:p>
    <w:p w:rsidR="00BA7935" w:rsidRPr="002D0934" w:rsidRDefault="00BA7935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Kontrendikasyonlar</w:t>
      </w:r>
    </w:p>
    <w:p w:rsidR="00BA7935" w:rsidRPr="002D0934" w:rsidRDefault="00FE7B45" w:rsidP="00DA1D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, bile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imindeki etken ya da yardımcı maddelerden herhangi birisine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hilkat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ya da titanyum dioksit vb.) hassasiyeti olan ki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ilerde</w:t>
      </w:r>
    </w:p>
    <w:p w:rsidR="00BA7935" w:rsidRPr="002D0934" w:rsidRDefault="00634A7E" w:rsidP="00DA1DF2">
      <w:pPr>
        <w:pStyle w:val="ListeParagr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arbon tedavisi hari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8 ya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ından k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üçük 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ocuklarda (maruziyet sonrası profilaksi 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solunum yolu ile alınan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arbon </w:t>
      </w:r>
      <w:proofErr w:type="gram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dahil</w:t>
      </w:r>
      <w:proofErr w:type="gram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BA7935" w:rsidRPr="002D0934" w:rsidRDefault="00BA7935" w:rsidP="00DA1D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Ciddi hepatik yetmezliği olanlarda</w:t>
      </w:r>
    </w:p>
    <w:p w:rsidR="00BA7935" w:rsidRPr="002D0934" w:rsidRDefault="00BA7935" w:rsidP="00DA1D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lastRenderedPageBreak/>
        <w:t>Gebe olanlarda</w:t>
      </w:r>
    </w:p>
    <w:p w:rsidR="00BA7935" w:rsidRPr="002D0934" w:rsidRDefault="00BA7935" w:rsidP="00DA1DF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Emzirenlerde</w:t>
      </w:r>
    </w:p>
    <w:p w:rsidR="00BA7935" w:rsidRPr="002D0934" w:rsidRDefault="00BA7935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kullanılmaz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634A7E" w:rsidRPr="002D0934" w:rsidRDefault="00634A7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101" w:rsidRPr="002D0934" w:rsidRDefault="00FA1101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alanlarda bazen, 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ırı g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yanığı reaksiyonu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eklinde ortaya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ıkan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fotosensitivite</w:t>
      </w:r>
      <w:proofErr w:type="spell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g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lm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r. Direkt g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veya ultra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v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iyole ı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ığında kalma olasılığı olan hastalara,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sınıfı ila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b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yle bir reaksiyona neden olabileceği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ylenmeli ve deri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eriteminin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ilk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bulgusunda tedaviye son verilmelidir.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Diğer antibiyotik preparatlarıyla da olduğu gibi bu ilacın uzun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reli kullanılmasıyla, mantarlar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dahil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olmak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zere duyarlı olmayan organizmalarda 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ırı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oğalma olabilir. Eğer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perenfeksiyon</w:t>
      </w:r>
      <w:proofErr w:type="spellEnd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meydana gelirse antibiyotiğe son verilmeli ve uygun tedavi uygulanmalıdır.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A grubu beta-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hemolitik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streptokoklara bağlı t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en az 10 g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reyle tedavi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edilmelidir.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Z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hrevi hastalıklarda, beraberinde sifilisin bulunduğundan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pheleniliyorsa, tedaviye ba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lamadan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evvel karanlık saha incelemesi yapılmalı ve en az 4 ay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reyle ayda bir defa kanda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serolojik</w:t>
      </w:r>
      <w:proofErr w:type="spellEnd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inceleme tekrar edilmelidir. Uzun d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nem tedavisinde,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hematopoietik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renal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hepatik</w:t>
      </w:r>
      <w:proofErr w:type="spellEnd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incelemeler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dahil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olmak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zere, organ sistemlerinin periyodik laboratuvar değerlendirmeleri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yapılmalıdır.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 ila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di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geli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imi sırasında (gebeliğin son ikinci yarısı, bebeklik ve 8 ya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ına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dek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ocukluk d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nemlerinde) kullanılması, di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lerde kalıcı renk deği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ikliğine (sarı-gri-kahverengi)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yol 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abilir. Bu advers etki, ila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uzun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reli kullanımlarında daha yaygındır, ancak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tekrarlanan kısa 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reli kullanımlarda da bildirilmi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 Aynı zamanda, di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minesi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hipoplazisi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bildirilmi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Bu nedenle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 ila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ların, solunum yolu ile edinilmi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(maruziyet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sonrası)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arbon olguları da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dahil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olmak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zere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arbon vakaları dı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ındaki olgularda, diğer ila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etkisiz veya kontrendike olmadık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 bu ya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grubunda k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ullanılmamaları gerekir (Bkz.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 4.2 ve 4.3)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kaps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l de </w:t>
      </w:r>
      <w:proofErr w:type="gram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dahil</w:t>
      </w:r>
      <w:proofErr w:type="gram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olmak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üzere hemen tü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antibakteriyel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ajanlar ile </w:t>
      </w:r>
      <w:proofErr w:type="spellStart"/>
      <w:r w:rsidR="00BA7935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Clostridium</w:t>
      </w:r>
      <w:proofErr w:type="spellEnd"/>
      <w:r w:rsidR="00EF213D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7935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difficile</w:t>
      </w:r>
      <w:proofErr w:type="spellEnd"/>
      <w:r w:rsidR="00BA7935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ile ili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şkili </w:t>
      </w:r>
      <w:proofErr w:type="spellStart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diyare</w:t>
      </w:r>
      <w:proofErr w:type="spellEnd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(CDİD) olguları bildirilmiştir ve olayın şiddeti hafif </w:t>
      </w:r>
      <w:proofErr w:type="spellStart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diyareden</w:t>
      </w:r>
      <w:proofErr w:type="spellEnd"/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ölümcü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kolite kadar değiş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mektedir. Antibakteriyel ajanlar ile uygulanan tedaviler, kolonun normal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florasını</w:t>
      </w:r>
      <w:proofErr w:type="gram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deği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tirdikleri i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in </w:t>
      </w:r>
      <w:r w:rsidR="00BA7935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BA7935" w:rsidRPr="002D0934">
        <w:rPr>
          <w:rFonts w:ascii="Times New Roman" w:eastAsia="TimesNewRoman" w:hAnsi="Times New Roman" w:cs="Times New Roman"/>
          <w:i/>
          <w:iCs/>
          <w:sz w:val="24"/>
          <w:szCs w:val="24"/>
        </w:rPr>
        <w:t>difficile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’nin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ırı 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oğalmasına yol a</w:t>
      </w:r>
      <w:r w:rsidR="00634A7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abilirler.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C.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difficile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A ve B toksinleri 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reterek CD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 geli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imine neden olur. C.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difficile’nin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ırı toksin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reten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su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bu t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enfeksiyonlar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antimikrobiyal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tedaviye diren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li oldukları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kolektomi</w:t>
      </w:r>
      <w:proofErr w:type="spellEnd"/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gerektirebildikleri i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morbidite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mortalitede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artı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 neden olurlar. Antibiyotik kullanımından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sonra diyare geli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en t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 hastalarda CD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 olasılığı 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lmelidir. Antibakteriyel ajanların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kullanımından iki ayı a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kın s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 sonra bile CD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 olguları bildirildiği i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in, dikkatli tıbbi 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yk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 xml:space="preserve">ü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alınması gerekmektedir.</w:t>
      </w:r>
    </w:p>
    <w:p w:rsidR="00634A7E" w:rsidRPr="002D0934" w:rsidRDefault="00634A7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Eğer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CD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D’den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şüpheleniliyorsa veya CDİ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 tanısı doğrulanmı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sa, C.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difficile’ye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y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nelik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olmayan antibiyotik </w:t>
      </w:r>
      <w:r w:rsidR="00EF213D" w:rsidRPr="002D0934">
        <w:rPr>
          <w:rFonts w:ascii="Times New Roman" w:eastAsia="TimesNewRoman" w:hAnsi="Times New Roman" w:cs="Times New Roman"/>
          <w:sz w:val="24"/>
          <w:szCs w:val="24"/>
        </w:rPr>
        <w:t>tedavisinin dur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durulması gerekmektedir. Uygun sıvı ve elektrolit tedavisi,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protein desteği, C.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difficile’nin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antibiyotik ile tedavi edilmesi ve klinik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endikasyonu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bulunan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durumlarda cerrahi değerlendirmenin d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7256D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lmesi gerekmektedir.</w:t>
      </w:r>
    </w:p>
    <w:p w:rsidR="007256D4" w:rsidRPr="002D0934" w:rsidRDefault="007256D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lastRenderedPageBreak/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alan bebeklerde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fontanel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kabarıklığı ve eri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kinlerde iyi huylu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intrakraniyal</w:t>
      </w:r>
      <w:proofErr w:type="spellEnd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hipertansiyon bildirilmi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kesildiğinde b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u durum ortadan kalkar. (Bkz.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B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4.2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7256D4" w:rsidRPr="002D0934" w:rsidRDefault="007256D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Gerektiğinde, antibiyotik tedavisinin yanı sıra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insizyon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direnaj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veya diğer cerrahi giri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imler de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uygulanmalıdır.</w:t>
      </w:r>
    </w:p>
    <w:p w:rsidR="007256D4" w:rsidRPr="002D0934" w:rsidRDefault="007256D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Plasmodium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su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aseks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kan evrelerinde kayda değer ancak tam olmayan bir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baskılanma olu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turur.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P.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falciparum’un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seks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el kan evresindeki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gametositlerini</w:t>
      </w:r>
      <w:proofErr w:type="spellEnd"/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baskılayamaz. Bu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proflaktik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 rejimini tamamlayan hastalar hala daha, endemik alanların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dı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ındaki sivrisineklerle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enfeksiyonu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ge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irebilirler.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alan hastalarda </w:t>
      </w:r>
      <w:proofErr w:type="spellStart"/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zofajit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zofagus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lserleri bildirilmi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tir (Bkz.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B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4.2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Karaciğer ve b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brek yetmezliği uyarıları 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 bakınız b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4.2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alan hastalarda seyrek olarak porfiri vakaları bildirilmi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sistemik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lupus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erithematozus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(SLE) alevlenmelerine neden olabilirler.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BA793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Zayıf bir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romusk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blokaj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etkisinden 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miyastenia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gravis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hastalarında dikkatli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kullanılması 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A7935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, laktoz 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ermektedir. Nadir kalıtımsal 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galaktoz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intoleransı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Lapp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laktoz yetmezliği</w:t>
      </w:r>
      <w:r w:rsidR="0005617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ya da glikoz-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galaktoz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>malabsorpsiyon</w:t>
      </w:r>
      <w:proofErr w:type="spellEnd"/>
      <w:r w:rsidR="00BA7935" w:rsidRPr="002D0934">
        <w:rPr>
          <w:rFonts w:ascii="Times New Roman" w:eastAsia="TimesNewRoman" w:hAnsi="Times New Roman" w:cs="Times New Roman"/>
          <w:sz w:val="24"/>
          <w:szCs w:val="24"/>
        </w:rPr>
        <w:t xml:space="preserve"> problemi olan hastaların bu ilacı kullanmamaları gerekir.</w:t>
      </w:r>
    </w:p>
    <w:p w:rsidR="00640AF6" w:rsidRPr="002D0934" w:rsidRDefault="00640AF6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40AF6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640AF6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640AF6" w:rsidRPr="002D0934">
        <w:rPr>
          <w:rFonts w:ascii="Times New Roman" w:eastAsia="TimesNewRoman" w:hAnsi="Times New Roman" w:cs="Times New Roman"/>
          <w:sz w:val="24"/>
          <w:szCs w:val="24"/>
        </w:rPr>
        <w:t>tartrazin</w:t>
      </w:r>
      <w:proofErr w:type="spellEnd"/>
      <w:r w:rsidR="00640AF6" w:rsidRPr="002D0934">
        <w:rPr>
          <w:rFonts w:ascii="Times New Roman" w:eastAsia="TimesNewRoman" w:hAnsi="Times New Roman" w:cs="Times New Roman"/>
          <w:sz w:val="24"/>
          <w:szCs w:val="24"/>
        </w:rPr>
        <w:t xml:space="preserve"> içermektedir. Alerjik reaksiyonlara sebep olabilir. </w:t>
      </w:r>
    </w:p>
    <w:p w:rsidR="00FA1101" w:rsidRPr="002D0934" w:rsidRDefault="00FA1101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A1101" w:rsidRPr="002D0934" w:rsidRDefault="00FA1101" w:rsidP="00DA1DF2">
      <w:pPr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>Bu tıbbi ürün her dozunda 1 mmol (23 mg)'</w:t>
      </w:r>
      <w:proofErr w:type="gramStart"/>
      <w:r w:rsidRPr="002D0934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2D0934">
        <w:rPr>
          <w:rFonts w:ascii="Times New Roman" w:hAnsi="Times New Roman" w:cs="Times New Roman"/>
          <w:sz w:val="24"/>
          <w:szCs w:val="24"/>
        </w:rPr>
        <w:t xml:space="preserve"> daha az sodyum ihtiva eder; bu dozda sodyuma bağlı herhangi bir yan etki beklenmemektedir.</w:t>
      </w:r>
    </w:p>
    <w:p w:rsidR="00BA7935" w:rsidRPr="002D0934" w:rsidRDefault="00BA7935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Diğer ila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larla birlikte kullanım: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Bakt</w:t>
      </w:r>
      <w:r w:rsidR="00DE3A73" w:rsidRPr="002D0934">
        <w:rPr>
          <w:rFonts w:ascii="Times New Roman" w:eastAsia="TimesNewRoman" w:hAnsi="Times New Roman" w:cs="Times New Roman"/>
          <w:sz w:val="24"/>
          <w:szCs w:val="24"/>
        </w:rPr>
        <w:t>eriyostatik</w:t>
      </w:r>
      <w:proofErr w:type="spellEnd"/>
      <w:r w:rsidR="00DE3A73" w:rsidRPr="002D0934">
        <w:rPr>
          <w:rFonts w:ascii="Times New Roman" w:eastAsia="TimesNewRoman" w:hAnsi="Times New Roman" w:cs="Times New Roman"/>
          <w:sz w:val="24"/>
          <w:szCs w:val="24"/>
        </w:rPr>
        <w:t xml:space="preserve"> ila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DE3A73" w:rsidRPr="002D0934">
        <w:rPr>
          <w:rFonts w:ascii="Times New Roman" w:eastAsia="TimesNewRoman" w:hAnsi="Times New Roman" w:cs="Times New Roman"/>
          <w:sz w:val="24"/>
          <w:szCs w:val="24"/>
        </w:rPr>
        <w:t xml:space="preserve">lar penisilinin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bakterisidal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aktivitesini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etkileyebilecekleri 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in, penisilinin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beraber verilmesinden ka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ınılması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nerilir.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Al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minyum, kalsiyum veya magnezyum 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eren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antiasidler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absorpsiyonunu</w:t>
      </w:r>
      <w:proofErr w:type="spellEnd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etkilediklerinden dolayı oral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tedavisi ile birlikte verilmemelidirler.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Demir, bizmut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subsalisilat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barbit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kralfat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didanozin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quinapril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birlikte alındığında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zeyleri azalır.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warfarin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gibi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antikoag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lanlarla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birlikte alındığında plazma protrombin aktivitesini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azalttığı bilindiği 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in, antikoag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lan tedavisi 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ren hastalarda antikoag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lan dozajında bir azaltma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yapmak gerekebilir.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Digoksin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birlikte alındığında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digoksin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toksisite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artı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 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lebilir.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benzodiyazepinler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kalsiyum kanal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blokerleri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mirtazapin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nateglinid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nefazodon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05617C" w:rsidRPr="002D0934" w:rsidRDefault="0005617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lastRenderedPageBreak/>
        <w:t>quinidin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sildenaf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il</w:t>
      </w:r>
      <w:proofErr w:type="spellEnd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ve diğer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pde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-5 inhibit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rleri),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takrolimus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venlafaksin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fenitoin, karbamazepin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ve diğer CYP3A4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substratlarının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zeylerini/etkilerini artırabilir.</w:t>
      </w:r>
    </w:p>
    <w:p w:rsidR="00DE3A73" w:rsidRPr="002D0934" w:rsidRDefault="00DE3A73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16E59" w:rsidRPr="002D0934" w:rsidRDefault="0005617C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E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zamanlı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 oral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kontraseptiflerin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etkisini azaltabilir.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Alkol,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yarılanma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mr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azaltabilir.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siklosporinin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plazma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konsantrasyonunu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artırabileceği 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 sadece uygun izlem</w:t>
      </w: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yapıldığında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birlikte kullanım d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lebilir.</w:t>
      </w:r>
    </w:p>
    <w:p w:rsidR="00C16F1E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5617C" w:rsidRPr="002D0934" w:rsidRDefault="00DE3A73" w:rsidP="0073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metoksifluran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’ın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birlikte kullanılması sonucunda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mc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 b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brek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toksisitesi bildirilmi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DE3A73" w:rsidRPr="002D0934" w:rsidRDefault="00DE3A73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E3A73" w:rsidRPr="002D0934" w:rsidRDefault="00DE3A73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Laboratuvar</w:t>
      </w:r>
      <w:proofErr w:type="spellEnd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testleri ile </w:t>
      </w:r>
      <w:proofErr w:type="spellStart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etkilesimleri</w:t>
      </w:r>
      <w:proofErr w:type="spellEnd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DE3A73" w:rsidRPr="002D0934" w:rsidRDefault="00DE3A73" w:rsidP="0073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Fluoresans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testi ile etkile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imine bağlı olarak idrar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katekolamin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zeylerinde ger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ek dı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artı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 g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zlenebilir.</w:t>
      </w:r>
    </w:p>
    <w:p w:rsidR="00DE3A73" w:rsidRPr="002D0934" w:rsidRDefault="00DE3A73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2D0934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2D0934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616E59" w:rsidRPr="002D0934" w:rsidRDefault="00DE3A73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Hi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bir etkile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im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alı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ması yapılmamı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tır.</w:t>
      </w:r>
    </w:p>
    <w:p w:rsidR="00DE3A73" w:rsidRPr="002D0934" w:rsidRDefault="00DE3A73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2D0934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2D0934">
        <w:rPr>
          <w:rFonts w:ascii="Times New Roman" w:hAnsi="Times New Roman" w:cs="Times New Roman"/>
          <w:b/>
          <w:sz w:val="24"/>
          <w:szCs w:val="24"/>
        </w:rPr>
        <w:t>: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Hiçbir etkileşim çalışması yapılmamıştır.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Gebelik ve laktasyon</w:t>
      </w: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Gebelik kategorisi D’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(Kontrasepsiyon)</w:t>
      </w:r>
    </w:p>
    <w:p w:rsidR="00616E59" w:rsidRPr="002D0934" w:rsidRDefault="00C16F1E" w:rsidP="0073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Oral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kontraseptif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ilaçların etkinliğinin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ilaçların kullanımıyla azaldığına dair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çalışmalar olsa da yeterli bilimsel ve klinik veri bulunmamaktadır. </w:t>
      </w:r>
      <w:r w:rsidR="00FE7B45"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esnasında kadınlar uygun doğum kontrol yöntemi ile korunmalıdırlar.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C16F1E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, hamileliğin son yarısında, doğacak çocuğun dişleri üzerindeki olası olumsuz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etkileri düşünülerek kullanılmamalıdır.</w:t>
      </w:r>
    </w:p>
    <w:p w:rsidR="00C16F1E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16F1E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Hayvanlarda yapılan çalışmaların sonuçları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plasentaya geçtiğini,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fetal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dokularda bulunduğunu ve geli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mekte olan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fetusta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(çoğunlukla iskelet gelişmesinin gecikmesiyle ilişkili) toksik etkiler meydana getirebileceğini göstermiştir.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Embriyotoksisite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belirtileri hamileliğin erken dönemlerinde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alan hayvanlarda görülmüştür. Eğer hamilelik sırasında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kullanılır veya kullanımı sırasında hasta hamile kalırsa, hasta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fetus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üzerindeki olası tahribatı konusunda bilgilendirilmelidir.</w:t>
      </w:r>
    </w:p>
    <w:p w:rsidR="00C16F1E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16F1E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Hamile kadınlarda yapılmı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yeterli ve iyi kontroll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klinik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alı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ma yoktur. Hamilelik sırasında</w:t>
      </w:r>
    </w:p>
    <w:p w:rsidR="00616E59" w:rsidRPr="002D0934" w:rsidRDefault="00C16F1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 ile ilgili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alı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maların b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y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 bir kısmı kısa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reli birinci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trimestırda</w:t>
      </w:r>
      <w:proofErr w:type="spellEnd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kullanıma aittir.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arbona maruz kalmada olduğu gibi uzun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reli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kullanımının hamile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kadındaki etkilerini değerlendiren veriler yoktur. TERIS-Teratojen Bilgi Sistemi- tarafından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yapılan gebelikte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kullanımında elde edilen basılı verilerin uzman değerlendirmesine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g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 gebelik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resince terap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tik dozlarda verilmesinin teratojenik risk yaratma olasılığı d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kt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r,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fakat veriler hi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risk olmadığını belirtmek 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 de yetersizdir.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616E59" w:rsidRPr="002D0934" w:rsidRDefault="00FE7B45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MONODOKS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anne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ne ge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er, fakat anne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ile beslenen bebeklerde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doksisiklin'i</w:t>
      </w:r>
      <w:proofErr w:type="spellEnd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de 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eren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tetrasiklinlerin</w:t>
      </w:r>
      <w:proofErr w:type="spellEnd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emilme derecesi bilinmemektedir. Emziren kadında kısa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reli kullanımın kontrendike olması kesin değildir; fakat anne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ndeki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doksisiklin'e</w:t>
      </w:r>
      <w:proofErr w:type="spellEnd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uzamı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maruziyetin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etkileri bilinmemektedir. </w:t>
      </w:r>
      <w:proofErr w:type="spellStart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Doksisiklin'in</w:t>
      </w:r>
      <w:proofErr w:type="spellEnd"/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 xml:space="preserve">t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ocuğundaki potansiyel yan etkileri nedeni ile s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t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16F1E" w:rsidRPr="002D0934">
        <w:rPr>
          <w:rFonts w:ascii="Times New Roman" w:eastAsia="TimesNewRoman" w:hAnsi="Times New Roman" w:cs="Times New Roman"/>
          <w:sz w:val="24"/>
          <w:szCs w:val="24"/>
        </w:rPr>
        <w:t>veren kadınlarda kullanımı gerektiğinde emzirmeye ara verilmelidir.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2D0934" w:rsidRDefault="00BE6FEB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Üreme yeteneği/Fertilite</w:t>
      </w:r>
    </w:p>
    <w:p w:rsidR="00616E59" w:rsidRPr="002D0934" w:rsidRDefault="00C16F1E" w:rsidP="0073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Oral yolla 250 mg/kg/g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 kadar y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ksek d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zeylerde uygulanan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di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 sı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anlarda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fertilitede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belirgin bir etki g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stermemi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tir. Erkeklerde fertilite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zerindeki etki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incelenmemi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2D0934" w:rsidRDefault="00C16F1E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Ara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makine kullanımı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zerindeki etkisi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zerine herhangi bir bilgi yoktur.</w:t>
      </w:r>
    </w:p>
    <w:p w:rsidR="00C16F1E" w:rsidRPr="002D0934" w:rsidRDefault="00C16F1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Klinik denemeler esnasında g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zlemlenen istenmeyen etkiler a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ağıdaki sıklık derecelerine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g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 sıralanmı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tır: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66" w:rsidRPr="002D0934" w:rsidRDefault="00822066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Enfeksiyonlar ve enfestasyonlar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perenfeksiyonlar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Diğer antibiyotiklerde olduğu gibi duyarlı olmayan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organizmal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ar ile enfeksiyonlar görü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lebilir.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Kandidasis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glossit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stafilokoksik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enterokolit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pseudo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membran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z</w:t>
      </w:r>
      <w:proofErr w:type="spellEnd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 xml:space="preserve"> kolit ve </w:t>
      </w:r>
      <w:proofErr w:type="spellStart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anogenital</w:t>
      </w:r>
      <w:proofErr w:type="spellEnd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 xml:space="preserve"> bö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lgede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inflamatuvar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lezyonlar,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vajinit</w:t>
      </w:r>
      <w:proofErr w:type="spellEnd"/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Kan ve lenf sistemi hastalıkları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Hem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olitik</w:t>
      </w:r>
      <w:proofErr w:type="spellEnd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 xml:space="preserve"> anemi, </w:t>
      </w:r>
      <w:proofErr w:type="spellStart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trombositopeni</w:t>
      </w:r>
      <w:proofErr w:type="spellEnd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nö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tropeni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porfiri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eozinofili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Bağış</w:t>
      </w:r>
      <w:r w:rsidR="007452C4"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ıklık sistemi hastalıkları</w:t>
      </w:r>
    </w:p>
    <w:p w:rsidR="007452C4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Ürtiker,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anjiyonörotik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ö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dem,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anaflaksi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anaflaktoid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purpura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, sistemik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lupus</w:t>
      </w:r>
      <w:proofErr w:type="spellEnd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eritematozus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eksaserbasyonları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Endokrin hastalıkları</w:t>
      </w:r>
    </w:p>
    <w:p w:rsidR="007452C4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Bilinmiyor: Uzun sü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re kullanıldığında,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tetrasiklinlerin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tiroid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bezlerinde kahverengi-siyah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mi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kroskopik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renk bozuklukları oluşturduğu bildirilmiş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tir. Tiroid fonksiyonlarında herhangi bir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anormallik olduğu bilinmemektedir.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Sinir sistemi hastalıkları</w:t>
      </w:r>
    </w:p>
    <w:p w:rsidR="007452C4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Bilinmiyor: Baş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ağrısı, be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beklerde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fontanel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kabarıklığı (İ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laca son verilince bu bulgu kaybolur),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iyi huylu kafa iç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i basıncı artı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ı.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Kulak ve iç</w:t>
      </w:r>
      <w:r w:rsidR="007452C4"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kulak hastalıkları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Tinnitus</w:t>
      </w:r>
      <w:proofErr w:type="spellEnd"/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Kardiyak hastalıkları</w:t>
      </w:r>
    </w:p>
    <w:p w:rsidR="00616E59" w:rsidRPr="002D0934" w:rsidRDefault="007452C4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Bilinmiyor: Perikardit.</w:t>
      </w:r>
    </w:p>
    <w:p w:rsidR="00AC5139" w:rsidRPr="002D0934" w:rsidRDefault="00AC5139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Gastrointestinal hastalıkları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Seyrek: </w:t>
      </w:r>
      <w:proofErr w:type="spellStart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zofajit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zofajiyal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C5139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lserler </w:t>
      </w:r>
      <w:proofErr w:type="gram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proofErr w:type="gram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 ilaç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 kaps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 ve tablet for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m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larında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nadiren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özofajit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özofajiyal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 ülserler görülür. Bu hastaların çoğu, ilaç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larını hemen yatmadan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önce almış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lardır.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)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disfaji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Anoreksi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bulantı, kusma,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diyare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glo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ssit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enterokolit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anogenital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 bö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lgede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enflamatuar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lezyonlar,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abdominal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ağrı, pankreatit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Hepato</w:t>
      </w:r>
      <w:proofErr w:type="spellEnd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-</w:t>
      </w:r>
      <w:proofErr w:type="spellStart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biliyer</w:t>
      </w:r>
      <w:proofErr w:type="spellEnd"/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hastalıkları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Seyrek: Hepatotoksik etki (Bu etki gerek oral gerek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parenteral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 ile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geliş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ebilir). Karac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iğer fonksiyon testlerinde artış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hepatit, 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sarılık, hepatik yetmezlik geliş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ebilir.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Deri ve deri altı doku hastalıkları</w:t>
      </w:r>
    </w:p>
    <w:p w:rsidR="007452C4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Makülopapüler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eritematöz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döküntü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ler,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fotosensitivite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reaksiyonları (</w:t>
      </w:r>
      <w:proofErr w:type="gramStart"/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bkz. 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Bölüm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4.4)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eksfoliyatif</w:t>
      </w:r>
      <w:proofErr w:type="spellEnd"/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 xml:space="preserve"> dermatit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Kas iskelet bozuklukları, bağ doku ve kemik hastalıkları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Artralji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miyalji</w:t>
      </w:r>
      <w:proofErr w:type="spellEnd"/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B</w:t>
      </w:r>
      <w:r w:rsidR="0011385C"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brek ve idrar hastalıkları</w:t>
      </w:r>
    </w:p>
    <w:p w:rsidR="007452C4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Bilinmiyor: BUN artış</w:t>
      </w:r>
      <w:r w:rsidR="007452C4" w:rsidRPr="002D0934">
        <w:rPr>
          <w:rFonts w:ascii="Times New Roman" w:eastAsia="TimesNewRoman" w:hAnsi="Times New Roman" w:cs="Times New Roman"/>
          <w:sz w:val="24"/>
          <w:szCs w:val="24"/>
        </w:rPr>
        <w:t>ı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2D0934">
        <w:rPr>
          <w:rFonts w:ascii="Times New Roman" w:eastAsia="TimesNewRoman,Bold" w:hAnsi="Times New Roman" w:cs="Times New Roman"/>
          <w:b/>
          <w:bCs/>
          <w:sz w:val="24"/>
          <w:szCs w:val="24"/>
        </w:rPr>
        <w:t>Diğer</w:t>
      </w:r>
    </w:p>
    <w:p w:rsidR="007452C4" w:rsidRPr="002D0934" w:rsidRDefault="007452C4" w:rsidP="00731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Bilinmiyor: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genellikle uzun s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reli kullanım ile ili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kili di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renginde bozukluk ve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mine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hipoplazisi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meydana getirebilirler.</w:t>
      </w:r>
    </w:p>
    <w:p w:rsidR="007452C4" w:rsidRPr="002D0934" w:rsidRDefault="007452C4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A9" w:rsidRPr="002D0934" w:rsidRDefault="009019A9" w:rsidP="0090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934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2D0934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2D0934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9019A9" w:rsidRPr="002D0934" w:rsidRDefault="009019A9" w:rsidP="0090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 xml:space="preserve">.gov.tr;          e-posta: 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D093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2D0934">
        <w:rPr>
          <w:rFonts w:ascii="Times New Roman" w:hAnsi="Times New Roman" w:cs="Times New Roman"/>
          <w:sz w:val="24"/>
          <w:szCs w:val="24"/>
        </w:rPr>
        <w:t>.gov.tr; tel: 0 800 314 00 08; faks: 0 312 218 35 99)</w:t>
      </w:r>
    </w:p>
    <w:p w:rsidR="009019A9" w:rsidRPr="002D0934" w:rsidRDefault="009019A9" w:rsidP="0090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D0934" w:rsidRDefault="00BE6FEB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hiklat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ırı dozuna bağlı klinik belirtiler bulantı,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anoreksi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diyaredir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452C4" w:rsidRPr="002D0934" w:rsidRDefault="007452C4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Gastrointestinal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dekontaminasyon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sonrası sadece g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zlem gerekir ve hipotansiyon durumunda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sıvı desteği gerekebilir.</w:t>
      </w:r>
    </w:p>
    <w:p w:rsidR="00616E59" w:rsidRPr="002D0934" w:rsidRDefault="007452C4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Serum yarılanma 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mr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deği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tirmeyeceği i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 doz a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ımında diyaliz 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nerilmez.</w:t>
      </w:r>
    </w:p>
    <w:p w:rsidR="007452C4" w:rsidRPr="002D0934" w:rsidRDefault="007452C4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Farmakoterap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grup: Sistemik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antibakteriyel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ila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lar,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tetrasiklinler</w:t>
      </w:r>
      <w:proofErr w:type="spellEnd"/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ATC Kodu: J01AA02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hiklat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hidroklorür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monohidrat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),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grubundan geniş spektrumlu bir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antibiyotiktir.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Oksitetrasiklinden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sentetik olarak türetilmi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tir. Açık sarı kristalize bir toz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şeklinde olup yüksek derecede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lipofiliktir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, kalsiyuma bağlanma eğilimi ise düşüktür.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31D2C" w:rsidRPr="002D0934" w:rsidRDefault="0011385C" w:rsidP="0090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lastRenderedPageBreak/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hiklat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temel olarak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bakteriyostatik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etkili olup,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antimikrobiyal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etkisini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mikroorganizmaların protein sente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zini inhibe etmek suretiyle gösterir. 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ok sayıda Gram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-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pozitif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ve Gr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am-negatif mikroorganizmaya karşı aktivitesi vardır. (Bkz. bölü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m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4.1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731D2C" w:rsidRPr="002D0934" w:rsidRDefault="00731D2C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2D0934">
        <w:rPr>
          <w:rFonts w:ascii="Times New Roman" w:eastAsia="TimesNewRoman" w:hAnsi="Times New Roman" w:cs="Times New Roman"/>
          <w:sz w:val="24"/>
          <w:szCs w:val="24"/>
          <w:u w:val="single"/>
        </w:rPr>
        <w:t>Emilim: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hiklat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oral uygulamadan sonra, hemen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hemen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t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yle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absorbe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edilir. Yiyecek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veya s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tle birlikte alınması emilimini % 20 azaltır. 200 mg'lık tek bir dozu takiben 2 saat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inde ortalama zirve serum değerlerine ula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ır ve 24 saat s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reyle serumda terap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tik etkinliği</w:t>
      </w:r>
      <w:r w:rsidR="00731D2C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olan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konsantrasyonlarda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bulunur.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2D0934">
        <w:rPr>
          <w:rFonts w:ascii="Times New Roman" w:eastAsia="TimesNewRoman" w:hAnsi="Times New Roman" w:cs="Times New Roman"/>
          <w:sz w:val="24"/>
          <w:szCs w:val="24"/>
          <w:u w:val="single"/>
        </w:rPr>
        <w:t>Dağılım: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Sinovyal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plevral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prostatik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seminal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bron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iyal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sekresyonlar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gibi v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cut sıvılarına geni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oranda dağılır; t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 ve beyin omurilik sıvısına ge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 azdır, plasentaya ge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er; s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te ge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er.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%90 oranında plazma proteinlerine bağlanır.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2D0934">
        <w:rPr>
          <w:rFonts w:ascii="Times New Roman" w:eastAsia="TimesNewRoman" w:hAnsi="Times New Roman" w:cs="Times New Roman"/>
          <w:sz w:val="24"/>
          <w:szCs w:val="24"/>
          <w:u w:val="single"/>
        </w:rPr>
        <w:t>Biyotransformasyon: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Karaciğerde metabolize olmaz; sindirim kanalında </w:t>
      </w:r>
      <w:proofErr w:type="spellStart"/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elasyon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olu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umu ile kısmen inaktive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edilir.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2D0934">
        <w:rPr>
          <w:rFonts w:ascii="Times New Roman" w:eastAsia="TimesNewRoman" w:hAnsi="Times New Roman" w:cs="Times New Roman"/>
          <w:sz w:val="24"/>
          <w:szCs w:val="24"/>
          <w:u w:val="single"/>
        </w:rPr>
        <w:t>Eliminasyon: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Normal b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brek fonksiyonlarına sahip insanlarda idrar yoluyla 72 saatte % 40'ı itrah edilir.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Serum yarı 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mr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18-22 saattir. Hemodiyalizde veya b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brek fonksiyonu bozuk olan vakalarda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serum yarı 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mr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nde deği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iklik saptanmamı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tır. Karaciğer tarafından safrada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konsantre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edilerek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biyolojik aktif formlarında idrar ve dı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kı ile atılırlar.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2D0934">
        <w:rPr>
          <w:rFonts w:ascii="Times New Roman" w:eastAsia="TimesNewRoman" w:hAnsi="Times New Roman" w:cs="Times New Roman"/>
          <w:sz w:val="24"/>
          <w:szCs w:val="24"/>
          <w:u w:val="single"/>
        </w:rPr>
        <w:t>Doğrusallık/doğrusal olmayan durum:</w:t>
      </w:r>
    </w:p>
    <w:p w:rsidR="00616E59" w:rsidRPr="002D0934" w:rsidRDefault="0011385C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Plazmadaki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eğrisi, 0,1 – 10 mg/mL </w:t>
      </w:r>
      <w:proofErr w:type="gramStart"/>
      <w:r w:rsidRPr="002D0934">
        <w:rPr>
          <w:rFonts w:ascii="Times New Roman" w:eastAsia="TimesNewRoman" w:hAnsi="Times New Roman" w:cs="Times New Roman"/>
          <w:sz w:val="24"/>
          <w:szCs w:val="24"/>
        </w:rPr>
        <w:t>konsantrasyonlarında</w:t>
      </w:r>
      <w:proofErr w:type="gram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doğrusaldır.</w:t>
      </w:r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A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ağıda belirtilen t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rlerde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sınıfının 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yeleri tarafından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tiroid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hiperpigmentasyonu</w:t>
      </w:r>
      <w:proofErr w:type="spellEnd"/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25FF0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retilmi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tir: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oksitetrasiklin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PO</w:t>
      </w:r>
      <w:r w:rsidRPr="002D0934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metasiklin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sı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anlarda;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PO</w:t>
      </w:r>
      <w:r w:rsidRPr="002D0934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metasiklin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mini domuzlarda;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ve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k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ö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peklerde;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ile maymunlarda.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11385C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PO</w:t>
      </w:r>
      <w:r w:rsidRPr="002D0934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metasiklin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doksisiklin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bazı,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oksitetrasiklin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HCI ve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HCI, d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üşü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 iyotlu gıdalarla beslenen sı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anlarda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guatrojeniktir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. Bu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guatrojenik</w:t>
      </w:r>
      <w:proofErr w:type="spellEnd"/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etkiye y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ksek radyoaktif iyot alımı e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ş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lik eder.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kullanımı ayrıca nispeten y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ksek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iyotlu gıdalarla beslenen sı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anlarda y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ksek oranda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radyoiyot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alımı ile b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üyü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k bir guatr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ü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retmi</w:t>
      </w:r>
      <w:r w:rsidR="008C52DE" w:rsidRPr="002D0934">
        <w:rPr>
          <w:rFonts w:ascii="Times New Roman" w:eastAsia="TimesNewRoman" w:hAnsi="Times New Roman" w:cs="Times New Roman"/>
          <w:sz w:val="24"/>
          <w:szCs w:val="24"/>
        </w:rPr>
        <w:t>şt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ir.</w:t>
      </w:r>
    </w:p>
    <w:p w:rsidR="00A25FF0" w:rsidRPr="002D0934" w:rsidRDefault="00A25FF0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1385C" w:rsidRPr="002D0934" w:rsidRDefault="008C52DE" w:rsidP="00DA1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Ç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>eş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itli hayvan t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>ürlerinin bu ilaç sınıfı ile tedavi edilmesi aşağıda belirtilen tü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rlerde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tiroid</w:t>
      </w:r>
      <w:proofErr w:type="spellEnd"/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hiperplazi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indüksiyonu ile sonuçlanmıştır: sıçanlarda ve kö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peklerde (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minosiklin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); tavuklarda</w:t>
      </w:r>
    </w:p>
    <w:p w:rsidR="00616E59" w:rsidRPr="002D0934" w:rsidRDefault="008C52DE" w:rsidP="009F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klortetrasiklin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>); ve sıç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anlarda ve farelerde (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oksitetrasiklin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). </w:t>
      </w:r>
      <w:proofErr w:type="spellStart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Oksitetrasiklin</w:t>
      </w:r>
      <w:proofErr w:type="spellEnd"/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 xml:space="preserve"> ile tedavi edilen</w:t>
      </w:r>
      <w:r w:rsidR="009F3C57" w:rsidRPr="002D09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keçi ve sıçanlarda böbreküstü bezi </w:t>
      </w:r>
      <w:proofErr w:type="spellStart"/>
      <w:r w:rsidRPr="002D0934">
        <w:rPr>
          <w:rFonts w:ascii="Times New Roman" w:eastAsia="TimesNewRoman" w:hAnsi="Times New Roman" w:cs="Times New Roman"/>
          <w:sz w:val="24"/>
          <w:szCs w:val="24"/>
        </w:rPr>
        <w:t>hiperplazisi</w:t>
      </w:r>
      <w:proofErr w:type="spellEnd"/>
      <w:r w:rsidRPr="002D0934">
        <w:rPr>
          <w:rFonts w:ascii="Times New Roman" w:eastAsia="TimesNewRoman" w:hAnsi="Times New Roman" w:cs="Times New Roman"/>
          <w:sz w:val="24"/>
          <w:szCs w:val="24"/>
        </w:rPr>
        <w:t xml:space="preserve"> gözlenmiş</w:t>
      </w:r>
      <w:r w:rsidR="0011385C" w:rsidRPr="002D0934">
        <w:rPr>
          <w:rFonts w:ascii="Times New Roman" w:eastAsia="TimesNewRoman" w:hAnsi="Times New Roman" w:cs="Times New Roman"/>
          <w:sz w:val="24"/>
          <w:szCs w:val="24"/>
        </w:rPr>
        <w:t>tir.</w:t>
      </w:r>
    </w:p>
    <w:p w:rsidR="0011385C" w:rsidRPr="002D0934" w:rsidRDefault="0011385C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A9" w:rsidRPr="002D0934" w:rsidRDefault="009019A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A9" w:rsidRPr="002D0934" w:rsidRDefault="009019A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9A9" w:rsidRPr="002D0934" w:rsidRDefault="009019A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lastRenderedPageBreak/>
        <w:t>FARMASÖTİK ÖZELLİKLER</w:t>
      </w: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Sodyum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lauril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sülfat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Mısır nişastası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Laktoz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Magne</w:t>
      </w:r>
      <w:r w:rsidR="00647BAE" w:rsidRPr="002D0934">
        <w:rPr>
          <w:rFonts w:ascii="Times New Roman" w:eastAsia="Calibri" w:hAnsi="Times New Roman" w:cs="Times New Roman"/>
          <w:sz w:val="24"/>
          <w:szCs w:val="24"/>
        </w:rPr>
        <w:t>z</w:t>
      </w:r>
      <w:r w:rsidRPr="002D0934">
        <w:rPr>
          <w:rFonts w:ascii="Times New Roman" w:eastAsia="Calibri" w:hAnsi="Times New Roman" w:cs="Times New Roman"/>
          <w:sz w:val="24"/>
          <w:szCs w:val="24"/>
        </w:rPr>
        <w:t>yum stearat</w:t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</w:p>
    <w:p w:rsidR="00FA1101" w:rsidRPr="002D0934" w:rsidRDefault="00FA1101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2D0934">
        <w:rPr>
          <w:rFonts w:ascii="Times New Roman" w:eastAsia="Calibri" w:hAnsi="Times New Roman" w:cs="Times New Roman"/>
          <w:sz w:val="24"/>
          <w:szCs w:val="24"/>
          <w:u w:val="single"/>
        </w:rPr>
        <w:t>Jelatin</w:t>
      </w:r>
      <w:proofErr w:type="gramEnd"/>
      <w:r w:rsidRPr="002D09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Kapsül</w:t>
      </w:r>
      <w:r w:rsidRPr="002D093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Eritrosin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213D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İndigo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karmin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Tartrazin</w:t>
      </w:r>
      <w:proofErr w:type="spell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213D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Titan</w:t>
      </w:r>
      <w:r w:rsidR="00647BAE" w:rsidRPr="002D0934">
        <w:rPr>
          <w:rFonts w:ascii="Times New Roman" w:eastAsia="Calibri" w:hAnsi="Times New Roman" w:cs="Times New Roman"/>
          <w:sz w:val="24"/>
          <w:szCs w:val="24"/>
        </w:rPr>
        <w:t>y</w:t>
      </w:r>
      <w:r w:rsidRPr="002D0934">
        <w:rPr>
          <w:rFonts w:ascii="Times New Roman" w:eastAsia="Calibri" w:hAnsi="Times New Roman" w:cs="Times New Roman"/>
          <w:sz w:val="24"/>
          <w:szCs w:val="24"/>
        </w:rPr>
        <w:t>um dioksit</w:t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</w:p>
    <w:p w:rsidR="00616E59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0934">
        <w:rPr>
          <w:rFonts w:ascii="Times New Roman" w:eastAsia="Calibri" w:hAnsi="Times New Roman" w:cs="Times New Roman"/>
          <w:sz w:val="24"/>
          <w:szCs w:val="24"/>
        </w:rPr>
        <w:t>Jelatin</w:t>
      </w:r>
      <w:proofErr w:type="gramEnd"/>
    </w:p>
    <w:p w:rsidR="008C52DE" w:rsidRPr="002D0934" w:rsidRDefault="008C52D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0934">
        <w:rPr>
          <w:rFonts w:ascii="Times New Roman" w:eastAsia="TimesNewRoman" w:hAnsi="Times New Roman" w:cs="Times New Roman"/>
          <w:sz w:val="24"/>
          <w:szCs w:val="24"/>
        </w:rPr>
        <w:t>Farmasötik bir geçimsizliği yoktur.</w:t>
      </w: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60 Ay</w:t>
      </w: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2DE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616E59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25</w:t>
      </w:r>
      <w:r w:rsidRPr="002D0934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C’nin altındaki oda sıcaklığında ve ışıktan koruyarak saklayınız. </w:t>
      </w: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076C87" w:rsidRPr="002D0934" w:rsidRDefault="00647BAE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2D0934">
        <w:rPr>
          <w:rFonts w:ascii="Times New Roman" w:eastAsia="Calibri" w:hAnsi="Times New Roman" w:cs="Times New Roman"/>
          <w:sz w:val="24"/>
          <w:szCs w:val="24"/>
          <w:lang w:eastAsia="nl-NL"/>
        </w:rPr>
        <w:t>14 kapsüllük ş</w:t>
      </w:r>
      <w:r w:rsidR="00076C87" w:rsidRPr="002D0934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effaf PVC/PVDC /Al blister </w:t>
      </w:r>
      <w:r w:rsidRPr="002D0934">
        <w:rPr>
          <w:rFonts w:ascii="Times New Roman" w:eastAsia="Calibri" w:hAnsi="Times New Roman" w:cs="Times New Roman"/>
          <w:sz w:val="24"/>
          <w:szCs w:val="24"/>
          <w:lang w:eastAsia="nl-NL"/>
        </w:rPr>
        <w:t>ambalajlardadır</w:t>
      </w:r>
      <w:r w:rsidR="00076C87" w:rsidRPr="002D0934">
        <w:rPr>
          <w:rFonts w:ascii="Times New Roman" w:eastAsia="Calibri" w:hAnsi="Times New Roman" w:cs="Times New Roman"/>
          <w:sz w:val="24"/>
          <w:szCs w:val="24"/>
          <w:lang w:eastAsia="nl-NL"/>
        </w:rPr>
        <w:t>.</w:t>
      </w:r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D0934" w:rsidRDefault="00616E59" w:rsidP="00DA1DF2">
      <w:pPr>
        <w:pStyle w:val="ListeParagraf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9F3C57" w:rsidRPr="002D0934" w:rsidRDefault="009F3C57" w:rsidP="009F3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34">
        <w:rPr>
          <w:rFonts w:ascii="Times New Roman" w:hAnsi="Times New Roman"/>
          <w:sz w:val="24"/>
          <w:szCs w:val="24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2D0934">
        <w:rPr>
          <w:rFonts w:ascii="Times New Roman" w:hAnsi="Times New Roman"/>
          <w:sz w:val="24"/>
          <w:szCs w:val="24"/>
        </w:rPr>
        <w:t>Yönetmelik”lerine</w:t>
      </w:r>
      <w:proofErr w:type="spellEnd"/>
      <w:r w:rsidRPr="002D0934">
        <w:rPr>
          <w:rFonts w:ascii="Times New Roman" w:hAnsi="Times New Roman"/>
          <w:sz w:val="24"/>
          <w:szCs w:val="24"/>
        </w:rPr>
        <w:t xml:space="preserve"> uygun olarak imha edilmelidir. </w:t>
      </w:r>
    </w:p>
    <w:p w:rsidR="008C52DE" w:rsidRPr="002D0934" w:rsidRDefault="008C52DE" w:rsidP="009F3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D0934" w:rsidRDefault="00C93104" w:rsidP="00DA1DF2">
      <w:pPr>
        <w:pStyle w:val="ListeParagraf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34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076C87" w:rsidRPr="002D0934" w:rsidRDefault="0097612E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DEVA HOLDİNG</w:t>
      </w:r>
      <w:r w:rsidR="00076C87" w:rsidRPr="002D0934">
        <w:rPr>
          <w:rFonts w:ascii="Times New Roman" w:eastAsia="Calibri" w:hAnsi="Times New Roman" w:cs="Times New Roman"/>
          <w:sz w:val="24"/>
          <w:szCs w:val="24"/>
        </w:rPr>
        <w:t xml:space="preserve"> A.Ş.</w:t>
      </w:r>
    </w:p>
    <w:p w:rsidR="00076C87" w:rsidRPr="002D0934" w:rsidRDefault="00076C87" w:rsidP="00DA1DF2">
      <w:pPr>
        <w:tabs>
          <w:tab w:val="left" w:pos="4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Halkalı Merkez Mah. Basın Ekspres Cad.</w:t>
      </w:r>
      <w:r w:rsidRPr="002D0934">
        <w:rPr>
          <w:rFonts w:ascii="Times New Roman" w:eastAsia="Calibri" w:hAnsi="Times New Roman" w:cs="Times New Roman"/>
          <w:sz w:val="24"/>
          <w:szCs w:val="24"/>
        </w:rPr>
        <w:tab/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No:</w:t>
      </w:r>
      <w:proofErr w:type="gramStart"/>
      <w:r w:rsidRPr="002D0934">
        <w:rPr>
          <w:rFonts w:ascii="Times New Roman" w:eastAsia="Calibri" w:hAnsi="Times New Roman" w:cs="Times New Roman"/>
          <w:sz w:val="24"/>
          <w:szCs w:val="24"/>
        </w:rPr>
        <w:t>1  34303</w:t>
      </w:r>
      <w:proofErr w:type="gramEnd"/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 Küçükçekmece</w:t>
      </w:r>
      <w:r w:rsidR="0097612E" w:rsidRPr="002D0934">
        <w:rPr>
          <w:rFonts w:ascii="Times New Roman" w:eastAsia="Calibri" w:hAnsi="Times New Roman" w:cs="Times New Roman"/>
          <w:sz w:val="24"/>
          <w:szCs w:val="24"/>
        </w:rPr>
        <w:t>/</w:t>
      </w:r>
      <w:r w:rsidRPr="002D0934">
        <w:rPr>
          <w:rFonts w:ascii="Times New Roman" w:eastAsia="Calibri" w:hAnsi="Times New Roman" w:cs="Times New Roman"/>
          <w:sz w:val="24"/>
          <w:szCs w:val="24"/>
        </w:rPr>
        <w:t>İSTANBUL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Tel:    0212 692 92 </w:t>
      </w:r>
      <w:proofErr w:type="spellStart"/>
      <w:r w:rsidRPr="002D0934">
        <w:rPr>
          <w:rFonts w:ascii="Times New Roman" w:eastAsia="Calibri" w:hAnsi="Times New Roman" w:cs="Times New Roman"/>
          <w:sz w:val="24"/>
          <w:szCs w:val="24"/>
        </w:rPr>
        <w:t>92</w:t>
      </w:r>
      <w:proofErr w:type="spellEnd"/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Faks: 0212 697 00 24 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934">
        <w:rPr>
          <w:rFonts w:ascii="Times New Roman" w:eastAsia="Calibri" w:hAnsi="Times New Roman" w:cs="Times New Roman"/>
          <w:b/>
          <w:sz w:val="24"/>
          <w:szCs w:val="24"/>
        </w:rPr>
        <w:t>8. RUHSAT NUMARASI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113/28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934">
        <w:rPr>
          <w:rFonts w:ascii="Times New Roman" w:eastAsia="Calibri" w:hAnsi="Times New Roman" w:cs="Times New Roman"/>
          <w:b/>
          <w:sz w:val="24"/>
          <w:szCs w:val="24"/>
        </w:rPr>
        <w:t xml:space="preserve">9. İLK RUHSAT TARİHİ/ RUHSAT YENİLEME TARİHİ 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eastAsia="Calibri" w:hAnsi="Times New Roman" w:cs="Times New Roman"/>
          <w:sz w:val="24"/>
          <w:szCs w:val="24"/>
        </w:rPr>
        <w:t>İlk Ruhsat Tarihi: 06.11.1972</w:t>
      </w: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34">
        <w:rPr>
          <w:rFonts w:ascii="Times New Roman" w:hAnsi="Times New Roman" w:cs="Times New Roman"/>
          <w:sz w:val="24"/>
          <w:szCs w:val="24"/>
        </w:rPr>
        <w:t>Ruhsat</w:t>
      </w:r>
      <w:r w:rsidRPr="002D0934">
        <w:rPr>
          <w:rFonts w:ascii="Times New Roman" w:eastAsia="Calibri" w:hAnsi="Times New Roman" w:cs="Times New Roman"/>
          <w:sz w:val="24"/>
          <w:szCs w:val="24"/>
        </w:rPr>
        <w:t xml:space="preserve"> Yenileme Tarihi:</w:t>
      </w:r>
      <w:r w:rsidRPr="002D09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612E" w:rsidRPr="002D0934">
        <w:rPr>
          <w:rFonts w:ascii="Times New Roman" w:eastAsia="Calibri" w:hAnsi="Times New Roman" w:cs="Times New Roman"/>
          <w:sz w:val="24"/>
          <w:szCs w:val="24"/>
        </w:rPr>
        <w:t>19.03.2013</w:t>
      </w:r>
    </w:p>
    <w:p w:rsidR="008C52DE" w:rsidRPr="002D0934" w:rsidRDefault="008C52DE" w:rsidP="00DA1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C87" w:rsidRPr="002D0934" w:rsidRDefault="00076C87" w:rsidP="00DA1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934">
        <w:rPr>
          <w:rFonts w:ascii="Times New Roman" w:eastAsia="Calibri" w:hAnsi="Times New Roman" w:cs="Times New Roman"/>
          <w:b/>
          <w:sz w:val="24"/>
          <w:szCs w:val="24"/>
        </w:rPr>
        <w:t xml:space="preserve">10.  KÜB’ÜN YENİLENME TARİHİ </w:t>
      </w:r>
    </w:p>
    <w:p w:rsidR="00616E59" w:rsidRPr="002D0934" w:rsidRDefault="00616E59" w:rsidP="00DA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E59" w:rsidRPr="002D0934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68" w:rsidRDefault="00666A68" w:rsidP="00F33D2C">
      <w:pPr>
        <w:spacing w:after="0" w:line="240" w:lineRule="auto"/>
      </w:pPr>
      <w:r>
        <w:separator/>
      </w:r>
    </w:p>
  </w:endnote>
  <w:endnote w:type="continuationSeparator" w:id="0">
    <w:p w:rsidR="00666A68" w:rsidRDefault="00666A68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731D2C" w:rsidRPr="00F33D2C" w:rsidRDefault="004A2764">
            <w:pPr>
              <w:pStyle w:val="Altbilgi"/>
              <w:jc w:val="right"/>
            </w:pPr>
            <w:fldSimple w:instr="PAGE">
              <w:r w:rsidR="002D0934">
                <w:rPr>
                  <w:noProof/>
                </w:rPr>
                <w:t>2</w:t>
              </w:r>
            </w:fldSimple>
            <w:r w:rsidR="00731D2C" w:rsidRPr="00F33D2C">
              <w:t xml:space="preserve"> / </w:t>
            </w:r>
            <w:fldSimple w:instr="NUMPAGES">
              <w:r w:rsidR="002D0934">
                <w:rPr>
                  <w:noProof/>
                </w:rPr>
                <w:t>11</w:t>
              </w:r>
            </w:fldSimple>
          </w:p>
        </w:sdtContent>
      </w:sdt>
    </w:sdtContent>
  </w:sdt>
  <w:p w:rsidR="00731D2C" w:rsidRDefault="00731D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68" w:rsidRDefault="00666A68" w:rsidP="00F33D2C">
      <w:pPr>
        <w:spacing w:after="0" w:line="240" w:lineRule="auto"/>
      </w:pPr>
      <w:r>
        <w:separator/>
      </w:r>
    </w:p>
  </w:footnote>
  <w:footnote w:type="continuationSeparator" w:id="0">
    <w:p w:rsidR="00666A68" w:rsidRDefault="00666A68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6C"/>
    <w:multiLevelType w:val="hybridMultilevel"/>
    <w:tmpl w:val="F03CF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294"/>
    <w:multiLevelType w:val="hybridMultilevel"/>
    <w:tmpl w:val="ED06B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312DE"/>
    <w:rsid w:val="00043C1F"/>
    <w:rsid w:val="000446ED"/>
    <w:rsid w:val="0005617C"/>
    <w:rsid w:val="00076C87"/>
    <w:rsid w:val="000B6902"/>
    <w:rsid w:val="0011385C"/>
    <w:rsid w:val="0016050D"/>
    <w:rsid w:val="00174167"/>
    <w:rsid w:val="002D0934"/>
    <w:rsid w:val="002D3C87"/>
    <w:rsid w:val="00442F97"/>
    <w:rsid w:val="00452B72"/>
    <w:rsid w:val="004800FB"/>
    <w:rsid w:val="004A2764"/>
    <w:rsid w:val="00565859"/>
    <w:rsid w:val="00616E59"/>
    <w:rsid w:val="00634A7E"/>
    <w:rsid w:val="00640AF6"/>
    <w:rsid w:val="00647BAE"/>
    <w:rsid w:val="00666A68"/>
    <w:rsid w:val="006D4715"/>
    <w:rsid w:val="007256D4"/>
    <w:rsid w:val="00731D2C"/>
    <w:rsid w:val="007452C4"/>
    <w:rsid w:val="007F7907"/>
    <w:rsid w:val="00822066"/>
    <w:rsid w:val="008656F0"/>
    <w:rsid w:val="008C52DE"/>
    <w:rsid w:val="008F6B67"/>
    <w:rsid w:val="009019A9"/>
    <w:rsid w:val="00910CFB"/>
    <w:rsid w:val="009541EA"/>
    <w:rsid w:val="00960FD4"/>
    <w:rsid w:val="0097612E"/>
    <w:rsid w:val="009F3C57"/>
    <w:rsid w:val="00A0450D"/>
    <w:rsid w:val="00A25FF0"/>
    <w:rsid w:val="00AA34D5"/>
    <w:rsid w:val="00AB6C08"/>
    <w:rsid w:val="00AC5139"/>
    <w:rsid w:val="00B50E33"/>
    <w:rsid w:val="00BA7935"/>
    <w:rsid w:val="00BE6FEB"/>
    <w:rsid w:val="00C16F1E"/>
    <w:rsid w:val="00C66C6E"/>
    <w:rsid w:val="00C8108A"/>
    <w:rsid w:val="00C93104"/>
    <w:rsid w:val="00CD166C"/>
    <w:rsid w:val="00DA1DF2"/>
    <w:rsid w:val="00DE3A73"/>
    <w:rsid w:val="00E04177"/>
    <w:rsid w:val="00E53756"/>
    <w:rsid w:val="00EB007B"/>
    <w:rsid w:val="00EC3448"/>
    <w:rsid w:val="00ED220F"/>
    <w:rsid w:val="00EF213D"/>
    <w:rsid w:val="00F33D2C"/>
    <w:rsid w:val="00F630D1"/>
    <w:rsid w:val="00F65841"/>
    <w:rsid w:val="00F911D1"/>
    <w:rsid w:val="00FA1101"/>
    <w:rsid w:val="00FE43C4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C793-B181-4967-A6BE-CC1983F8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ebellikan</cp:lastModifiedBy>
  <cp:revision>25</cp:revision>
  <dcterms:created xsi:type="dcterms:W3CDTF">2012-11-28T12:12:00Z</dcterms:created>
  <dcterms:modified xsi:type="dcterms:W3CDTF">2014-10-16T12:04:00Z</dcterms:modified>
</cp:coreProperties>
</file>