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93" w:rsidRPr="00D176D9" w:rsidRDefault="00950393" w:rsidP="003E2D62">
      <w:pPr>
        <w:spacing w:line="360" w:lineRule="auto"/>
        <w:jc w:val="center"/>
        <w:rPr>
          <w:b/>
          <w:lang w:val="tr-TR"/>
        </w:rPr>
      </w:pPr>
      <w:r w:rsidRPr="00D176D9">
        <w:rPr>
          <w:b/>
          <w:lang w:val="tr-TR"/>
        </w:rPr>
        <w:t>KISA ÜRÜN BİLGİSİ</w:t>
      </w:r>
    </w:p>
    <w:p w:rsidR="00950393" w:rsidRPr="00D176D9" w:rsidRDefault="00950393" w:rsidP="003E2D62">
      <w:pPr>
        <w:spacing w:line="360" w:lineRule="auto"/>
        <w:jc w:val="both"/>
        <w:rPr>
          <w:b/>
          <w:lang w:val="tr-TR"/>
        </w:rPr>
      </w:pPr>
    </w:p>
    <w:p w:rsidR="00B8023E" w:rsidRPr="00D176D9" w:rsidRDefault="00B8023E" w:rsidP="003E2D62">
      <w:pPr>
        <w:spacing w:line="360" w:lineRule="auto"/>
        <w:jc w:val="both"/>
        <w:rPr>
          <w:b/>
          <w:lang w:val="tr-TR"/>
        </w:rPr>
      </w:pPr>
      <w:r w:rsidRPr="00D176D9">
        <w:rPr>
          <w:b/>
          <w:lang w:val="tr-TR"/>
        </w:rPr>
        <w:t>1. BEŞERİ TIBBİ ÜRÜNÜN ADI</w:t>
      </w:r>
    </w:p>
    <w:p w:rsidR="004B256E" w:rsidRPr="00D176D9" w:rsidRDefault="004B256E" w:rsidP="004B256E">
      <w:pPr>
        <w:spacing w:line="360" w:lineRule="auto"/>
        <w:rPr>
          <w:lang w:val="tr-TR"/>
        </w:rPr>
      </w:pPr>
      <w:r w:rsidRPr="00D176D9">
        <w:rPr>
          <w:lang w:val="tr-TR"/>
        </w:rPr>
        <w:t>CEFAKS 500 mg İ.M. Enjektabl Toz İçeren Flakon</w:t>
      </w:r>
    </w:p>
    <w:p w:rsidR="00950393" w:rsidRPr="00D176D9" w:rsidRDefault="00950393" w:rsidP="003E2D62">
      <w:pPr>
        <w:spacing w:line="360" w:lineRule="auto"/>
        <w:jc w:val="both"/>
        <w:rPr>
          <w:b/>
          <w:lang w:val="tr-TR"/>
        </w:rPr>
      </w:pPr>
    </w:p>
    <w:p w:rsidR="008929AD" w:rsidRPr="00D176D9" w:rsidRDefault="00B8023E" w:rsidP="003E2D62">
      <w:pPr>
        <w:spacing w:line="360" w:lineRule="auto"/>
        <w:jc w:val="both"/>
        <w:rPr>
          <w:b/>
          <w:lang w:val="tr-TR"/>
        </w:rPr>
      </w:pPr>
      <w:r w:rsidRPr="00D176D9">
        <w:rPr>
          <w:b/>
          <w:lang w:val="tr-TR"/>
        </w:rPr>
        <w:t>2. KALİTATİF VE KANTİTATİF BİLEŞİM</w:t>
      </w:r>
    </w:p>
    <w:p w:rsidR="00F43DFE" w:rsidRPr="00D176D9" w:rsidRDefault="00F43DFE" w:rsidP="003E2D62">
      <w:pPr>
        <w:spacing w:line="360" w:lineRule="auto"/>
        <w:jc w:val="both"/>
        <w:rPr>
          <w:b/>
          <w:lang w:val="tr-TR"/>
        </w:rPr>
      </w:pPr>
      <w:r w:rsidRPr="00D176D9">
        <w:rPr>
          <w:b/>
          <w:lang w:val="tr-TR"/>
        </w:rPr>
        <w:t xml:space="preserve">Etkin madde: </w:t>
      </w:r>
    </w:p>
    <w:p w:rsidR="004B256E" w:rsidRPr="00D176D9" w:rsidRDefault="004B256E" w:rsidP="004B256E">
      <w:pPr>
        <w:spacing w:line="360" w:lineRule="auto"/>
        <w:jc w:val="both"/>
        <w:rPr>
          <w:u w:val="single"/>
          <w:lang w:val="tr-TR"/>
        </w:rPr>
      </w:pPr>
      <w:r w:rsidRPr="00D176D9">
        <w:rPr>
          <w:u w:val="single"/>
          <w:lang w:val="tr-TR"/>
        </w:rPr>
        <w:t>Flakon:</w:t>
      </w:r>
    </w:p>
    <w:p w:rsidR="004B256E" w:rsidRPr="00D176D9" w:rsidRDefault="004B256E" w:rsidP="004B256E">
      <w:pPr>
        <w:spacing w:line="360" w:lineRule="auto"/>
        <w:jc w:val="both"/>
        <w:rPr>
          <w:lang w:val="tr-TR"/>
        </w:rPr>
      </w:pPr>
      <w:r w:rsidRPr="00D176D9">
        <w:rPr>
          <w:lang w:val="tr-TR"/>
        </w:rPr>
        <w:t>500 mg sefuroksime eşdeğer 525.9</w:t>
      </w:r>
      <w:r w:rsidR="00AE5402" w:rsidRPr="00D176D9">
        <w:rPr>
          <w:lang w:val="tr-TR"/>
        </w:rPr>
        <w:t xml:space="preserve"> mg</w:t>
      </w:r>
      <w:r w:rsidRPr="00D176D9">
        <w:rPr>
          <w:lang w:val="tr-TR"/>
        </w:rPr>
        <w:t xml:space="preserve"> </w:t>
      </w:r>
      <w:proofErr w:type="gramStart"/>
      <w:r w:rsidRPr="00D176D9">
        <w:rPr>
          <w:lang w:val="tr-TR"/>
        </w:rPr>
        <w:t>steril</w:t>
      </w:r>
      <w:proofErr w:type="gramEnd"/>
      <w:r w:rsidRPr="00D176D9">
        <w:rPr>
          <w:lang w:val="tr-TR"/>
        </w:rPr>
        <w:t xml:space="preserve"> sefuroksim sodyum</w:t>
      </w:r>
    </w:p>
    <w:p w:rsidR="004B256E" w:rsidRPr="00D176D9" w:rsidRDefault="004B256E" w:rsidP="004B256E">
      <w:pPr>
        <w:spacing w:line="360" w:lineRule="auto"/>
        <w:jc w:val="both"/>
        <w:rPr>
          <w:u w:val="single"/>
          <w:lang w:val="tr-TR"/>
        </w:rPr>
      </w:pPr>
      <w:r w:rsidRPr="00D176D9">
        <w:rPr>
          <w:u w:val="single"/>
          <w:lang w:val="tr-TR"/>
        </w:rPr>
        <w:t>Ampul:</w:t>
      </w:r>
    </w:p>
    <w:p w:rsidR="004B256E" w:rsidRPr="00D176D9" w:rsidRDefault="004B256E" w:rsidP="004B256E">
      <w:pPr>
        <w:spacing w:line="360" w:lineRule="auto"/>
        <w:jc w:val="both"/>
        <w:rPr>
          <w:lang w:val="tr-TR"/>
        </w:rPr>
      </w:pPr>
      <w:r w:rsidRPr="00D176D9">
        <w:rPr>
          <w:lang w:val="tr-TR"/>
        </w:rPr>
        <w:t>20 mg lidokain HCl</w:t>
      </w:r>
    </w:p>
    <w:p w:rsidR="00276EC8" w:rsidRPr="00D176D9" w:rsidRDefault="00462FEC" w:rsidP="003E2D62">
      <w:pPr>
        <w:spacing w:line="360" w:lineRule="auto"/>
        <w:jc w:val="both"/>
        <w:rPr>
          <w:b/>
          <w:lang w:val="tr-TR"/>
        </w:rPr>
      </w:pPr>
      <w:r w:rsidRPr="00D176D9">
        <w:rPr>
          <w:b/>
          <w:lang w:val="tr-TR"/>
        </w:rPr>
        <w:t>Yardımcı madde:</w:t>
      </w:r>
    </w:p>
    <w:p w:rsidR="007678D7" w:rsidRPr="00D176D9" w:rsidRDefault="00462FEC" w:rsidP="003E2D62">
      <w:pPr>
        <w:spacing w:line="360" w:lineRule="auto"/>
        <w:jc w:val="both"/>
        <w:rPr>
          <w:lang w:val="tr-TR"/>
        </w:rPr>
      </w:pPr>
      <w:r w:rsidRPr="00D176D9">
        <w:rPr>
          <w:lang w:val="tr-TR"/>
        </w:rPr>
        <w:t xml:space="preserve">Yardımcı maddeler için </w:t>
      </w:r>
      <w:proofErr w:type="gramStart"/>
      <w:r w:rsidR="007678D7" w:rsidRPr="00D176D9">
        <w:rPr>
          <w:lang w:val="tr-TR"/>
        </w:rPr>
        <w:t>6.1</w:t>
      </w:r>
      <w:proofErr w:type="gramEnd"/>
      <w:r w:rsidRPr="00D176D9">
        <w:rPr>
          <w:lang w:val="tr-TR"/>
        </w:rPr>
        <w:t>’ e bakınız.</w:t>
      </w:r>
    </w:p>
    <w:p w:rsidR="00C0016F" w:rsidRPr="00D176D9" w:rsidRDefault="00C0016F" w:rsidP="00C0016F">
      <w:pPr>
        <w:spacing w:line="360" w:lineRule="auto"/>
        <w:jc w:val="both"/>
        <w:rPr>
          <w:b/>
          <w:lang w:val="tr-TR"/>
        </w:rPr>
      </w:pPr>
    </w:p>
    <w:p w:rsidR="00C0016F" w:rsidRPr="00D176D9" w:rsidRDefault="00C0016F" w:rsidP="00C0016F">
      <w:pPr>
        <w:spacing w:line="360" w:lineRule="auto"/>
        <w:jc w:val="both"/>
        <w:rPr>
          <w:b/>
          <w:lang w:val="tr-TR"/>
        </w:rPr>
      </w:pPr>
      <w:r w:rsidRPr="00D176D9">
        <w:rPr>
          <w:b/>
          <w:lang w:val="tr-TR"/>
        </w:rPr>
        <w:t>3. FARMASÖTİK FORM</w:t>
      </w:r>
    </w:p>
    <w:p w:rsidR="004B256E" w:rsidRPr="00D176D9" w:rsidRDefault="004B256E" w:rsidP="004B256E">
      <w:pPr>
        <w:spacing w:before="57" w:line="360" w:lineRule="auto"/>
        <w:ind w:right="-662"/>
        <w:jc w:val="both"/>
        <w:rPr>
          <w:i/>
          <w:lang w:val="tr-TR"/>
        </w:rPr>
      </w:pPr>
      <w:r w:rsidRPr="00D176D9">
        <w:rPr>
          <w:i/>
          <w:lang w:val="tr-TR"/>
        </w:rPr>
        <w:t>Enjektabl toz içeren flakon:</w:t>
      </w:r>
    </w:p>
    <w:p w:rsidR="004B256E" w:rsidRPr="00D176D9" w:rsidRDefault="004B256E" w:rsidP="004B256E">
      <w:pPr>
        <w:spacing w:before="57" w:line="360" w:lineRule="auto"/>
        <w:ind w:right="-662"/>
        <w:jc w:val="both"/>
        <w:rPr>
          <w:lang w:val="tr-TR"/>
        </w:rPr>
      </w:pPr>
      <w:r w:rsidRPr="00D176D9">
        <w:rPr>
          <w:lang w:val="tr-TR"/>
        </w:rPr>
        <w:t>Beyazdan krem rengine kadar olan renklerde, hava geçirmez (hermetik) şekilde kapatılmış flakonda toz.</w:t>
      </w:r>
    </w:p>
    <w:p w:rsidR="004B256E" w:rsidRPr="00D176D9" w:rsidRDefault="004B256E" w:rsidP="004B256E">
      <w:pPr>
        <w:spacing w:before="57" w:line="360" w:lineRule="auto"/>
        <w:ind w:right="-662"/>
        <w:jc w:val="both"/>
        <w:rPr>
          <w:i/>
          <w:lang w:val="tr-TR"/>
        </w:rPr>
      </w:pPr>
      <w:r w:rsidRPr="00D176D9">
        <w:rPr>
          <w:i/>
          <w:lang w:val="tr-TR"/>
        </w:rPr>
        <w:t>Çözücü:</w:t>
      </w:r>
    </w:p>
    <w:p w:rsidR="004B256E" w:rsidRPr="00D176D9" w:rsidRDefault="004B256E" w:rsidP="004B256E">
      <w:pPr>
        <w:spacing w:before="57" w:line="360" w:lineRule="auto"/>
        <w:ind w:right="-662"/>
        <w:jc w:val="both"/>
        <w:rPr>
          <w:lang w:val="tr-TR"/>
        </w:rPr>
      </w:pPr>
      <w:r w:rsidRPr="00D176D9">
        <w:rPr>
          <w:lang w:val="tr-TR"/>
        </w:rPr>
        <w:t>Renksiz, kokusuz berrak solüsyon</w:t>
      </w:r>
    </w:p>
    <w:p w:rsidR="00C0016F" w:rsidRPr="00D176D9" w:rsidRDefault="00C0016F" w:rsidP="00C0016F">
      <w:pPr>
        <w:spacing w:line="360" w:lineRule="auto"/>
        <w:jc w:val="both"/>
        <w:rPr>
          <w:b/>
          <w:lang w:val="tr-TR"/>
        </w:rPr>
      </w:pPr>
    </w:p>
    <w:p w:rsidR="00C0016F" w:rsidRPr="00D176D9" w:rsidRDefault="00C0016F" w:rsidP="00C0016F">
      <w:pPr>
        <w:spacing w:line="360" w:lineRule="auto"/>
        <w:jc w:val="both"/>
        <w:rPr>
          <w:b/>
          <w:lang w:val="tr-TR"/>
        </w:rPr>
      </w:pPr>
      <w:r w:rsidRPr="00D176D9">
        <w:rPr>
          <w:b/>
          <w:lang w:val="tr-TR"/>
        </w:rPr>
        <w:t>4. KLİNİK ÖZELLİKLER</w:t>
      </w:r>
    </w:p>
    <w:p w:rsidR="00C0016F" w:rsidRPr="00D176D9" w:rsidRDefault="00C0016F" w:rsidP="00C0016F">
      <w:pPr>
        <w:keepNext/>
        <w:autoSpaceDE w:val="0"/>
        <w:autoSpaceDN w:val="0"/>
        <w:adjustRightInd w:val="0"/>
        <w:spacing w:line="360" w:lineRule="auto"/>
        <w:jc w:val="both"/>
        <w:outlineLvl w:val="1"/>
        <w:rPr>
          <w:b/>
          <w:bCs/>
          <w:lang w:val="tr-TR"/>
        </w:rPr>
      </w:pPr>
      <w:r w:rsidRPr="00D176D9">
        <w:rPr>
          <w:b/>
          <w:bCs/>
          <w:lang w:val="tr-TR"/>
        </w:rPr>
        <w:t xml:space="preserve">4.1 Terapötik endikasyonlar </w:t>
      </w:r>
    </w:p>
    <w:p w:rsidR="00C0016F" w:rsidRPr="00D176D9" w:rsidRDefault="00C0016F" w:rsidP="00C0016F">
      <w:pPr>
        <w:spacing w:before="57" w:line="360" w:lineRule="auto"/>
        <w:ind w:right="-662"/>
        <w:jc w:val="both"/>
        <w:rPr>
          <w:lang w:val="tr-TR"/>
        </w:rPr>
      </w:pPr>
      <w:r w:rsidRPr="00D176D9">
        <w:rPr>
          <w:lang w:val="tr-TR"/>
        </w:rPr>
        <w:t xml:space="preserve">Sefuroksim, antibiyotiğe hassas mikroorganizmaların meydana getirdiği </w:t>
      </w:r>
      <w:proofErr w:type="gramStart"/>
      <w:r w:rsidRPr="00D176D9">
        <w:rPr>
          <w:lang w:val="tr-TR"/>
        </w:rPr>
        <w:t>enfeksiyonlarda</w:t>
      </w:r>
      <w:proofErr w:type="gramEnd"/>
      <w:r w:rsidRPr="00D176D9">
        <w:rPr>
          <w:lang w:val="tr-TR"/>
        </w:rPr>
        <w:t xml:space="preserve"> etkilidir. Bu </w:t>
      </w:r>
      <w:proofErr w:type="gramStart"/>
      <w:r w:rsidRPr="00D176D9">
        <w:rPr>
          <w:lang w:val="tr-TR"/>
        </w:rPr>
        <w:t>enfeksiyonların</w:t>
      </w:r>
      <w:proofErr w:type="gramEnd"/>
      <w:r w:rsidRPr="00D176D9">
        <w:rPr>
          <w:lang w:val="tr-TR"/>
        </w:rPr>
        <w:t xml:space="preserve"> başlıcaları şunlardır:</w:t>
      </w:r>
    </w:p>
    <w:p w:rsidR="00C0016F" w:rsidRPr="00D176D9" w:rsidRDefault="00C0016F" w:rsidP="00C0016F">
      <w:pPr>
        <w:spacing w:line="360" w:lineRule="auto"/>
        <w:ind w:right="-662"/>
        <w:jc w:val="both"/>
        <w:rPr>
          <w:lang w:val="tr-TR"/>
        </w:rPr>
      </w:pPr>
      <w:r w:rsidRPr="00D176D9">
        <w:rPr>
          <w:b/>
          <w:lang w:val="tr-TR"/>
        </w:rPr>
        <w:t>Alt solunum yolu enfeksiyonları:</w:t>
      </w:r>
      <w:r w:rsidRPr="00D176D9">
        <w:rPr>
          <w:lang w:val="tr-TR"/>
        </w:rPr>
        <w:t xml:space="preserve"> </w:t>
      </w:r>
      <w:r w:rsidRPr="00D176D9">
        <w:rPr>
          <w:i/>
          <w:lang w:val="tr-TR"/>
        </w:rPr>
        <w:t>Streptococcus pneumoniae,</w:t>
      </w:r>
      <w:r w:rsidRPr="00D176D9">
        <w:rPr>
          <w:lang w:val="tr-TR"/>
        </w:rPr>
        <w:t xml:space="preserve"> </w:t>
      </w:r>
      <w:r w:rsidRPr="00D176D9">
        <w:rPr>
          <w:i/>
          <w:lang w:val="tr-TR"/>
        </w:rPr>
        <w:t>Haemophilus influenzae</w:t>
      </w:r>
      <w:r w:rsidRPr="00D176D9">
        <w:rPr>
          <w:lang w:val="tr-TR"/>
        </w:rPr>
        <w:t xml:space="preserve"> (ampisiline dirençli suşlar dahil),  </w:t>
      </w:r>
      <w:r w:rsidRPr="00D176D9">
        <w:rPr>
          <w:i/>
          <w:lang w:val="tr-TR"/>
        </w:rPr>
        <w:t xml:space="preserve">Klebsiella </w:t>
      </w:r>
      <w:r w:rsidRPr="00D176D9">
        <w:rPr>
          <w:lang w:val="tr-TR"/>
        </w:rPr>
        <w:t xml:space="preserve">türleri, </w:t>
      </w:r>
      <w:r w:rsidRPr="00D176D9">
        <w:rPr>
          <w:i/>
          <w:lang w:val="tr-TR"/>
        </w:rPr>
        <w:t>Staphylococcus aureus</w:t>
      </w:r>
      <w:r w:rsidRPr="00D176D9">
        <w:rPr>
          <w:lang w:val="tr-TR"/>
        </w:rPr>
        <w:t xml:space="preserve"> (penisilinaz üreten ve üretmeyen suşları), </w:t>
      </w:r>
      <w:r w:rsidRPr="00D176D9">
        <w:rPr>
          <w:i/>
          <w:lang w:val="tr-TR"/>
        </w:rPr>
        <w:t>Streptococcus pyogenes ve Escherichia coli’nin</w:t>
      </w:r>
      <w:r w:rsidRPr="00D176D9">
        <w:rPr>
          <w:lang w:val="tr-TR"/>
        </w:rPr>
        <w:t xml:space="preserve"> neden olduğu </w:t>
      </w:r>
      <w:proofErr w:type="gramStart"/>
      <w:r w:rsidRPr="00D176D9">
        <w:rPr>
          <w:lang w:val="tr-TR"/>
        </w:rPr>
        <w:t>pnömonilerde,akut</w:t>
      </w:r>
      <w:proofErr w:type="gramEnd"/>
      <w:r w:rsidRPr="00D176D9">
        <w:rPr>
          <w:lang w:val="tr-TR"/>
        </w:rPr>
        <w:t xml:space="preserve"> ve kronik bronşitlerde, enfekte bronşektazilerde, akciğer absesi ve postoperatif  göğüs enfeksiyonlarında.</w:t>
      </w:r>
    </w:p>
    <w:p w:rsidR="004D1E81" w:rsidRPr="00D176D9" w:rsidRDefault="00C0016F" w:rsidP="00C0016F">
      <w:pPr>
        <w:spacing w:line="360" w:lineRule="auto"/>
        <w:ind w:right="-662"/>
        <w:jc w:val="both"/>
        <w:rPr>
          <w:lang w:val="tr-TR"/>
        </w:rPr>
      </w:pPr>
      <w:r w:rsidRPr="00D176D9">
        <w:rPr>
          <w:b/>
          <w:lang w:val="tr-TR"/>
        </w:rPr>
        <w:t xml:space="preserve">Üst solunum yolu </w:t>
      </w:r>
      <w:proofErr w:type="gramStart"/>
      <w:r w:rsidRPr="00D176D9">
        <w:rPr>
          <w:b/>
          <w:lang w:val="tr-TR"/>
        </w:rPr>
        <w:t>enfeksiyonları</w:t>
      </w:r>
      <w:proofErr w:type="gramEnd"/>
      <w:r w:rsidRPr="00D176D9">
        <w:rPr>
          <w:b/>
          <w:lang w:val="tr-TR"/>
        </w:rPr>
        <w:t>:</w:t>
      </w:r>
      <w:r w:rsidRPr="00D176D9">
        <w:rPr>
          <w:lang w:val="tr-TR"/>
        </w:rPr>
        <w:t xml:space="preserve"> </w:t>
      </w:r>
      <w:r w:rsidRPr="00D176D9">
        <w:rPr>
          <w:i/>
          <w:lang w:val="tr-TR"/>
        </w:rPr>
        <w:t>Streptococcus pneumoniae, Moraxella catarrhalis</w:t>
      </w:r>
      <w:r w:rsidRPr="00D176D9">
        <w:rPr>
          <w:lang w:val="tr-TR"/>
        </w:rPr>
        <w:t xml:space="preserve"> ve </w:t>
      </w:r>
      <w:r w:rsidRPr="00D176D9">
        <w:rPr>
          <w:i/>
          <w:lang w:val="tr-TR"/>
        </w:rPr>
        <w:t>Haemophilus influenzae</w:t>
      </w:r>
      <w:r w:rsidRPr="00D176D9">
        <w:rPr>
          <w:lang w:val="tr-TR"/>
        </w:rPr>
        <w:t xml:space="preserve"> kaynaklı otitis media, </w:t>
      </w:r>
      <w:r w:rsidRPr="00D176D9">
        <w:rPr>
          <w:i/>
          <w:lang w:val="tr-TR"/>
        </w:rPr>
        <w:t>Staphylococcus aureus</w:t>
      </w:r>
      <w:r w:rsidR="004D1E81" w:rsidRPr="00D176D9">
        <w:rPr>
          <w:lang w:val="tr-TR"/>
        </w:rPr>
        <w:t xml:space="preserve"> kaynaklı sinüzit tedavisinde,</w:t>
      </w:r>
    </w:p>
    <w:p w:rsidR="00C0016F" w:rsidRPr="00D176D9" w:rsidRDefault="00C0016F" w:rsidP="00C0016F">
      <w:pPr>
        <w:spacing w:line="360" w:lineRule="auto"/>
        <w:ind w:right="-662"/>
        <w:jc w:val="both"/>
        <w:rPr>
          <w:lang w:val="tr-TR"/>
        </w:rPr>
      </w:pPr>
      <w:r w:rsidRPr="00D176D9">
        <w:rPr>
          <w:b/>
          <w:lang w:val="tr-TR"/>
        </w:rPr>
        <w:t xml:space="preserve">Üriner sistem </w:t>
      </w:r>
      <w:proofErr w:type="gramStart"/>
      <w:r w:rsidRPr="00D176D9">
        <w:rPr>
          <w:b/>
          <w:lang w:val="tr-TR"/>
        </w:rPr>
        <w:t>enfeksiyonları</w:t>
      </w:r>
      <w:proofErr w:type="gramEnd"/>
      <w:r w:rsidRPr="00D176D9">
        <w:rPr>
          <w:b/>
          <w:lang w:val="tr-TR"/>
        </w:rPr>
        <w:t>:</w:t>
      </w:r>
      <w:r w:rsidRPr="00D176D9">
        <w:rPr>
          <w:lang w:val="tr-TR"/>
        </w:rPr>
        <w:t xml:space="preserve"> </w:t>
      </w:r>
      <w:r w:rsidRPr="00D176D9">
        <w:rPr>
          <w:i/>
          <w:lang w:val="tr-TR"/>
        </w:rPr>
        <w:t>Escherichia coli</w:t>
      </w:r>
      <w:r w:rsidRPr="00D176D9">
        <w:rPr>
          <w:lang w:val="tr-TR"/>
        </w:rPr>
        <w:t xml:space="preserve"> ve </w:t>
      </w:r>
      <w:r w:rsidRPr="00D176D9">
        <w:rPr>
          <w:i/>
          <w:lang w:val="tr-TR"/>
        </w:rPr>
        <w:t>Klebsiella</w:t>
      </w:r>
      <w:r w:rsidRPr="00D176D9">
        <w:rPr>
          <w:lang w:val="tr-TR"/>
        </w:rPr>
        <w:t xml:space="preserve"> türlerinin neden olduğu akut ve kronik piyolonefrit, asemptomatik bakteriüri ve sistitte. </w:t>
      </w:r>
    </w:p>
    <w:p w:rsidR="00C0016F" w:rsidRPr="00D176D9" w:rsidRDefault="00C0016F" w:rsidP="00C0016F">
      <w:pPr>
        <w:spacing w:line="360" w:lineRule="auto"/>
        <w:ind w:right="-662"/>
        <w:jc w:val="both"/>
        <w:rPr>
          <w:lang w:val="tr-TR"/>
        </w:rPr>
      </w:pPr>
      <w:r w:rsidRPr="00D176D9">
        <w:rPr>
          <w:b/>
          <w:lang w:val="tr-TR"/>
        </w:rPr>
        <w:lastRenderedPageBreak/>
        <w:t xml:space="preserve">Deri ve yumuşak doku </w:t>
      </w:r>
      <w:proofErr w:type="gramStart"/>
      <w:r w:rsidRPr="00D176D9">
        <w:rPr>
          <w:b/>
          <w:lang w:val="tr-TR"/>
        </w:rPr>
        <w:t>enfeksiyonları</w:t>
      </w:r>
      <w:proofErr w:type="gramEnd"/>
      <w:r w:rsidRPr="00D176D9">
        <w:rPr>
          <w:b/>
          <w:lang w:val="tr-TR"/>
        </w:rPr>
        <w:t>:</w:t>
      </w:r>
      <w:r w:rsidRPr="00D176D9">
        <w:rPr>
          <w:lang w:val="tr-TR"/>
        </w:rPr>
        <w:t xml:space="preserve"> </w:t>
      </w:r>
      <w:r w:rsidRPr="00D176D9">
        <w:rPr>
          <w:i/>
          <w:lang w:val="tr-TR"/>
        </w:rPr>
        <w:t>Staphylococcus aureus</w:t>
      </w:r>
      <w:r w:rsidRPr="00D176D9">
        <w:rPr>
          <w:lang w:val="tr-TR"/>
        </w:rPr>
        <w:t xml:space="preserve"> (penisilinaz üreten ve üretmeyen suşları), </w:t>
      </w:r>
      <w:r w:rsidRPr="00D176D9">
        <w:rPr>
          <w:i/>
          <w:lang w:val="tr-TR"/>
        </w:rPr>
        <w:t>Streptococcus pyogenes, Escherichia coli, Klebsiella türleri, Enterobacter</w:t>
      </w:r>
      <w:r w:rsidRPr="00D176D9">
        <w:rPr>
          <w:lang w:val="tr-TR"/>
        </w:rPr>
        <w:t xml:space="preserve"> türlerinin neden olduğu selülit, erizipel, peritonit ve yara enfeksiyonlarında,</w:t>
      </w:r>
    </w:p>
    <w:p w:rsidR="00C0016F" w:rsidRPr="00D176D9" w:rsidRDefault="00C0016F" w:rsidP="00C0016F">
      <w:pPr>
        <w:spacing w:line="360" w:lineRule="auto"/>
        <w:ind w:right="-662"/>
        <w:jc w:val="both"/>
        <w:rPr>
          <w:lang w:val="tr-TR"/>
        </w:rPr>
      </w:pPr>
      <w:r w:rsidRPr="00D176D9">
        <w:rPr>
          <w:b/>
          <w:lang w:val="tr-TR"/>
        </w:rPr>
        <w:t>Septisemi:</w:t>
      </w:r>
      <w:r w:rsidRPr="00D176D9">
        <w:rPr>
          <w:lang w:val="tr-TR"/>
        </w:rPr>
        <w:t xml:space="preserve"> </w:t>
      </w:r>
      <w:r w:rsidR="004D1E81" w:rsidRPr="00D176D9">
        <w:rPr>
          <w:lang w:val="tr-TR"/>
        </w:rPr>
        <w:t xml:space="preserve">İntramusküler uygulamalar hariç (sadece IV olarak kullanıldığında), </w:t>
      </w:r>
      <w:r w:rsidRPr="00D176D9">
        <w:rPr>
          <w:i/>
          <w:lang w:val="tr-TR"/>
        </w:rPr>
        <w:t>Staphylococcus aureus</w:t>
      </w:r>
      <w:r w:rsidRPr="00D176D9">
        <w:rPr>
          <w:lang w:val="tr-TR"/>
        </w:rPr>
        <w:t xml:space="preserve"> (penisilinaz üreten ve üretmeyen suşları), </w:t>
      </w:r>
      <w:r w:rsidRPr="00D176D9">
        <w:rPr>
          <w:i/>
          <w:lang w:val="tr-TR"/>
        </w:rPr>
        <w:t>Streptococcus pneumoniae, Escherichia coli, Haemophilus influenzae</w:t>
      </w:r>
      <w:r w:rsidRPr="00D176D9">
        <w:rPr>
          <w:lang w:val="tr-TR"/>
        </w:rPr>
        <w:t xml:space="preserve"> (ampisiline dirençli suşlar </w:t>
      </w:r>
      <w:proofErr w:type="gramStart"/>
      <w:r w:rsidRPr="00D176D9">
        <w:rPr>
          <w:lang w:val="tr-TR"/>
        </w:rPr>
        <w:t>dahil</w:t>
      </w:r>
      <w:proofErr w:type="gramEnd"/>
      <w:r w:rsidRPr="00D176D9">
        <w:rPr>
          <w:lang w:val="tr-TR"/>
        </w:rPr>
        <w:t xml:space="preserve">) ve </w:t>
      </w:r>
      <w:r w:rsidRPr="00D176D9">
        <w:rPr>
          <w:i/>
          <w:lang w:val="tr-TR"/>
        </w:rPr>
        <w:t>Klebsiella</w:t>
      </w:r>
      <w:r w:rsidRPr="00D176D9">
        <w:rPr>
          <w:lang w:val="tr-TR"/>
        </w:rPr>
        <w:t xml:space="preserve"> türlerinin neden olduğu,</w:t>
      </w:r>
    </w:p>
    <w:p w:rsidR="00C0016F" w:rsidRPr="00D176D9" w:rsidRDefault="00C0016F" w:rsidP="00C0016F">
      <w:pPr>
        <w:spacing w:line="360" w:lineRule="auto"/>
        <w:ind w:right="-662"/>
        <w:jc w:val="both"/>
        <w:rPr>
          <w:lang w:val="tr-TR"/>
        </w:rPr>
      </w:pPr>
      <w:r w:rsidRPr="00D176D9">
        <w:rPr>
          <w:b/>
          <w:lang w:val="tr-TR"/>
        </w:rPr>
        <w:t>Menenjit:</w:t>
      </w:r>
      <w:r w:rsidRPr="00D176D9">
        <w:rPr>
          <w:lang w:val="tr-TR"/>
        </w:rPr>
        <w:t xml:space="preserve"> </w:t>
      </w:r>
      <w:r w:rsidR="004D1E81" w:rsidRPr="00D176D9">
        <w:rPr>
          <w:lang w:val="tr-TR"/>
        </w:rPr>
        <w:t xml:space="preserve">İntramusküler uygulamalar hariç (sadece IV olarak kullanıldığında), </w:t>
      </w:r>
      <w:r w:rsidRPr="00D176D9">
        <w:rPr>
          <w:i/>
          <w:lang w:val="tr-TR"/>
        </w:rPr>
        <w:t>Streptococcus pneumoniae, Haemophilus influenzae</w:t>
      </w:r>
      <w:r w:rsidRPr="00D176D9">
        <w:rPr>
          <w:lang w:val="tr-TR"/>
        </w:rPr>
        <w:t xml:space="preserve"> (ampisiline dirençli suşlar </w:t>
      </w:r>
      <w:proofErr w:type="gramStart"/>
      <w:r w:rsidRPr="00D176D9">
        <w:rPr>
          <w:lang w:val="tr-TR"/>
        </w:rPr>
        <w:t>dahil</w:t>
      </w:r>
      <w:proofErr w:type="gramEnd"/>
      <w:r w:rsidRPr="00D176D9">
        <w:rPr>
          <w:lang w:val="tr-TR"/>
        </w:rPr>
        <w:t xml:space="preserve">), </w:t>
      </w:r>
      <w:r w:rsidRPr="00D176D9">
        <w:rPr>
          <w:i/>
          <w:lang w:val="tr-TR"/>
        </w:rPr>
        <w:t>Neisseria meningitidis, Staphylococcus aureus</w:t>
      </w:r>
      <w:r w:rsidRPr="00D176D9">
        <w:rPr>
          <w:lang w:val="tr-TR"/>
        </w:rPr>
        <w:t>’un (penisilinaz üreten ve üretmeyen suşları) neden olduğu,</w:t>
      </w:r>
    </w:p>
    <w:p w:rsidR="00C0016F" w:rsidRPr="00D176D9" w:rsidRDefault="00C0016F" w:rsidP="00C0016F">
      <w:pPr>
        <w:spacing w:line="360" w:lineRule="auto"/>
        <w:ind w:right="-662"/>
        <w:jc w:val="both"/>
        <w:rPr>
          <w:lang w:val="tr-TR"/>
        </w:rPr>
      </w:pPr>
      <w:r w:rsidRPr="00D176D9">
        <w:rPr>
          <w:b/>
          <w:lang w:val="tr-TR"/>
        </w:rPr>
        <w:t>Gonore:</w:t>
      </w:r>
      <w:r w:rsidRPr="00D176D9">
        <w:rPr>
          <w:lang w:val="tr-TR"/>
        </w:rPr>
        <w:t xml:space="preserve"> Erkeklerde ve kadınlardaki </w:t>
      </w:r>
      <w:r w:rsidRPr="00D176D9">
        <w:rPr>
          <w:i/>
          <w:lang w:val="tr-TR"/>
        </w:rPr>
        <w:t>Neisseria gonorrhoeae</w:t>
      </w:r>
      <w:r w:rsidRPr="00D176D9">
        <w:rPr>
          <w:lang w:val="tr-TR"/>
        </w:rPr>
        <w:t>’nin</w:t>
      </w:r>
      <w:r w:rsidRPr="00D176D9">
        <w:rPr>
          <w:i/>
          <w:lang w:val="tr-TR"/>
        </w:rPr>
        <w:t xml:space="preserve"> </w:t>
      </w:r>
      <w:r w:rsidRPr="00D176D9">
        <w:rPr>
          <w:lang w:val="tr-TR"/>
        </w:rPr>
        <w:t xml:space="preserve">(penisilinaz üreten ve üretmeyen suşlar) neden olduğu akut ve </w:t>
      </w:r>
      <w:proofErr w:type="gramStart"/>
      <w:r w:rsidRPr="00D176D9">
        <w:rPr>
          <w:lang w:val="tr-TR"/>
        </w:rPr>
        <w:t>komplike</w:t>
      </w:r>
      <w:proofErr w:type="gramEnd"/>
      <w:r w:rsidRPr="00D176D9">
        <w:rPr>
          <w:lang w:val="tr-TR"/>
        </w:rPr>
        <w:t xml:space="preserve"> olmayan yaygın gonokokal enfeksiyonlarda,</w:t>
      </w:r>
    </w:p>
    <w:p w:rsidR="00C0016F" w:rsidRPr="00D176D9" w:rsidRDefault="00C0016F" w:rsidP="00C0016F">
      <w:pPr>
        <w:spacing w:line="360" w:lineRule="auto"/>
        <w:ind w:right="-662"/>
        <w:jc w:val="both"/>
        <w:rPr>
          <w:lang w:val="tr-TR"/>
        </w:rPr>
      </w:pPr>
      <w:r w:rsidRPr="00D176D9">
        <w:rPr>
          <w:b/>
          <w:lang w:val="tr-TR"/>
        </w:rPr>
        <w:t xml:space="preserve">Kemik ve eklem </w:t>
      </w:r>
      <w:proofErr w:type="gramStart"/>
      <w:r w:rsidRPr="00D176D9">
        <w:rPr>
          <w:b/>
          <w:lang w:val="tr-TR"/>
        </w:rPr>
        <w:t>enfeksiyonları</w:t>
      </w:r>
      <w:proofErr w:type="gramEnd"/>
      <w:r w:rsidRPr="00D176D9">
        <w:rPr>
          <w:lang w:val="tr-TR"/>
        </w:rPr>
        <w:t xml:space="preserve">: </w:t>
      </w:r>
      <w:r w:rsidRPr="00D176D9">
        <w:rPr>
          <w:i/>
          <w:lang w:val="tr-TR"/>
        </w:rPr>
        <w:t>Staphylococcus</w:t>
      </w:r>
      <w:r w:rsidRPr="00D176D9">
        <w:rPr>
          <w:lang w:val="tr-TR"/>
        </w:rPr>
        <w:t xml:space="preserve"> </w:t>
      </w:r>
      <w:r w:rsidRPr="00D176D9">
        <w:rPr>
          <w:i/>
          <w:lang w:val="tr-TR"/>
        </w:rPr>
        <w:t>aureus</w:t>
      </w:r>
      <w:r w:rsidRPr="00D176D9">
        <w:rPr>
          <w:lang w:val="tr-TR"/>
        </w:rPr>
        <w:t>’un  (penisilinaz üreten ve üretmeyen suşları) neden olduğu osteomiyelit, septik artrit gibi hastalıkların tedavisinde endikedir.</w:t>
      </w:r>
    </w:p>
    <w:p w:rsidR="00C0016F" w:rsidRPr="00D176D9" w:rsidRDefault="00C0016F" w:rsidP="00C0016F">
      <w:pPr>
        <w:spacing w:line="360" w:lineRule="auto"/>
        <w:ind w:right="-662"/>
        <w:jc w:val="both"/>
        <w:outlineLvl w:val="0"/>
        <w:rPr>
          <w:lang w:val="tr-TR"/>
        </w:rPr>
      </w:pPr>
      <w:r w:rsidRPr="00D176D9">
        <w:rPr>
          <w:b/>
          <w:lang w:val="tr-TR"/>
        </w:rPr>
        <w:t xml:space="preserve">Doğum ve jinekolojik </w:t>
      </w:r>
      <w:proofErr w:type="gramStart"/>
      <w:r w:rsidRPr="00D176D9">
        <w:rPr>
          <w:b/>
          <w:lang w:val="tr-TR"/>
        </w:rPr>
        <w:t>enfeksiyonlar</w:t>
      </w:r>
      <w:proofErr w:type="gramEnd"/>
      <w:r w:rsidRPr="00D176D9">
        <w:rPr>
          <w:b/>
          <w:lang w:val="tr-TR"/>
        </w:rPr>
        <w:t>:</w:t>
      </w:r>
      <w:r w:rsidRPr="00D176D9">
        <w:rPr>
          <w:lang w:val="tr-TR"/>
        </w:rPr>
        <w:t xml:space="preserve"> Pelvik enflamatuar hastalık. </w:t>
      </w:r>
    </w:p>
    <w:p w:rsidR="00C0016F" w:rsidRPr="00D176D9" w:rsidRDefault="00C0016F" w:rsidP="00C0016F">
      <w:pPr>
        <w:spacing w:line="360" w:lineRule="auto"/>
        <w:ind w:right="-662"/>
        <w:jc w:val="both"/>
        <w:rPr>
          <w:lang w:val="tr-TR"/>
        </w:rPr>
      </w:pPr>
      <w:r w:rsidRPr="00D176D9">
        <w:rPr>
          <w:b/>
          <w:lang w:val="tr-TR"/>
        </w:rPr>
        <w:t>Profilaksi:</w:t>
      </w:r>
      <w:r w:rsidRPr="00D176D9">
        <w:rPr>
          <w:lang w:val="tr-TR"/>
        </w:rPr>
        <w:t xml:space="preserve"> Enfeksiyonlardan ileri gelen risk artışı olduğunda ve abdominal, pelvik, ortopedik, kardiyak, pulmoner, özofajiyal ve vasküler ameliyatlarda profilaktik olarak uygulanabilir. Özellikle kolon ameliyatlarında ve jinekolojik ameliyatlarda profilaksi için CEFAKS enjektabl genellikle tek başına etkilidir. Ancak uygun görüldüğünde bir aminoglikozid antibiyotik ile veya metronidazol ile kombine edilerek de (oral, supozituar veya parenteral) kullanılabilir. </w:t>
      </w:r>
      <w:r w:rsidR="004D1E81" w:rsidRPr="00D176D9">
        <w:rPr>
          <w:lang w:val="tr-TR"/>
        </w:rPr>
        <w:t xml:space="preserve">Proflaktik kullanım cerrahi sonrasında 24 saatten daha uzun devam etmemelidir. Açık kalp ameliyatlarında bu süre 48 saatten daha uzun olmamalıdır. </w:t>
      </w:r>
    </w:p>
    <w:p w:rsidR="00C0016F" w:rsidRPr="00D176D9" w:rsidRDefault="00C0016F" w:rsidP="00C0016F">
      <w:pPr>
        <w:spacing w:line="360" w:lineRule="auto"/>
        <w:jc w:val="both"/>
        <w:rPr>
          <w:b/>
          <w:bCs/>
          <w:highlight w:val="magenta"/>
          <w:lang w:val="tr-TR"/>
        </w:rPr>
      </w:pPr>
    </w:p>
    <w:p w:rsidR="00C0016F" w:rsidRPr="00D176D9" w:rsidRDefault="00C0016F" w:rsidP="00C0016F">
      <w:pPr>
        <w:spacing w:line="360" w:lineRule="auto"/>
        <w:jc w:val="both"/>
        <w:rPr>
          <w:bCs/>
          <w:iCs/>
          <w:lang w:val="tr-TR"/>
        </w:rPr>
      </w:pPr>
      <w:r w:rsidRPr="00D176D9">
        <w:rPr>
          <w:b/>
          <w:bCs/>
          <w:lang w:val="tr-TR" w:eastAsia="tr-TR"/>
        </w:rPr>
        <w:t xml:space="preserve">4.2 Pozoloji ve uygulama şekli </w:t>
      </w:r>
    </w:p>
    <w:p w:rsidR="00C0016F" w:rsidRPr="00D176D9" w:rsidRDefault="00C0016F" w:rsidP="00C0016F">
      <w:pPr>
        <w:autoSpaceDE w:val="0"/>
        <w:autoSpaceDN w:val="0"/>
        <w:adjustRightInd w:val="0"/>
        <w:spacing w:line="360" w:lineRule="auto"/>
        <w:rPr>
          <w:b/>
          <w:bCs/>
          <w:lang w:val="tr-TR" w:eastAsia="tr-TR"/>
        </w:rPr>
      </w:pPr>
      <w:r w:rsidRPr="00D176D9">
        <w:rPr>
          <w:b/>
          <w:bCs/>
          <w:lang w:val="tr-TR" w:eastAsia="tr-TR"/>
        </w:rPr>
        <w:t>Pozoloji /Uygulama sıklığı ve süresi</w:t>
      </w:r>
    </w:p>
    <w:p w:rsidR="00C0016F" w:rsidRPr="00D176D9" w:rsidRDefault="00C0016F" w:rsidP="00C0016F">
      <w:pPr>
        <w:spacing w:line="360" w:lineRule="auto"/>
        <w:jc w:val="both"/>
        <w:rPr>
          <w:lang w:val="tr-TR"/>
        </w:rPr>
      </w:pPr>
      <w:r w:rsidRPr="00D176D9">
        <w:rPr>
          <w:lang w:val="tr-TR"/>
        </w:rPr>
        <w:t xml:space="preserve">Sefuroksimin günlük dozu ve uygulama yolu; hastanın yaşına, </w:t>
      </w:r>
      <w:proofErr w:type="gramStart"/>
      <w:r w:rsidRPr="00D176D9">
        <w:rPr>
          <w:lang w:val="tr-TR"/>
        </w:rPr>
        <w:t>enfeksiyonun</w:t>
      </w:r>
      <w:proofErr w:type="gramEnd"/>
      <w:r w:rsidRPr="00D176D9">
        <w:rPr>
          <w:lang w:val="tr-TR"/>
        </w:rPr>
        <w:t xml:space="preserve"> şiddetine ve enfeksiyona neden olan mikroorganizmaların hassasiyetine göre ayarlanır.</w:t>
      </w:r>
    </w:p>
    <w:p w:rsidR="00C0016F" w:rsidRPr="00D176D9" w:rsidRDefault="00C0016F" w:rsidP="00C0016F">
      <w:pPr>
        <w:spacing w:line="360" w:lineRule="auto"/>
        <w:jc w:val="both"/>
        <w:rPr>
          <w:lang w:val="tr-TR"/>
        </w:rPr>
      </w:pPr>
      <w:r w:rsidRPr="00D176D9">
        <w:rPr>
          <w:lang w:val="tr-TR"/>
        </w:rPr>
        <w:t xml:space="preserve">Doktor tarafından başka şekilde önerilmediği takdirde CEFAKS aşağıda belirtilen dozlarda kullanılmalıdır. </w:t>
      </w:r>
    </w:p>
    <w:p w:rsidR="00C0016F" w:rsidRPr="00D176D9" w:rsidRDefault="00C0016F" w:rsidP="00C0016F">
      <w:pPr>
        <w:spacing w:line="360" w:lineRule="auto"/>
        <w:ind w:right="-662"/>
        <w:jc w:val="both"/>
        <w:outlineLvl w:val="0"/>
        <w:rPr>
          <w:b/>
          <w:lang w:val="tr-TR"/>
        </w:rPr>
      </w:pPr>
      <w:r w:rsidRPr="00D176D9">
        <w:rPr>
          <w:b/>
          <w:lang w:val="tr-TR"/>
        </w:rPr>
        <w:t xml:space="preserve">Erişkinler ve 12 yaş üstü çocuklar: </w:t>
      </w:r>
    </w:p>
    <w:p w:rsidR="00C0016F" w:rsidRPr="00D176D9" w:rsidRDefault="00C0016F" w:rsidP="00C0016F">
      <w:pPr>
        <w:spacing w:line="360" w:lineRule="auto"/>
        <w:jc w:val="both"/>
        <w:rPr>
          <w:lang w:val="tr-TR"/>
        </w:rPr>
      </w:pPr>
      <w:r w:rsidRPr="00D176D9">
        <w:rPr>
          <w:lang w:val="tr-TR"/>
        </w:rPr>
        <w:t xml:space="preserve">Hafif ve orta şiddetli enfeksiyonlarda (komplike olmamış üriner sistem </w:t>
      </w:r>
      <w:proofErr w:type="gramStart"/>
      <w:r w:rsidRPr="00D176D9">
        <w:rPr>
          <w:lang w:val="tr-TR"/>
        </w:rPr>
        <w:t>enfeksiyonları,deri</w:t>
      </w:r>
      <w:proofErr w:type="gramEnd"/>
      <w:r w:rsidRPr="00D176D9">
        <w:rPr>
          <w:lang w:val="tr-TR"/>
        </w:rPr>
        <w:t xml:space="preserve"> ve yumuşak doku enfeksiyonları,dissemine gonokok enfeksiyonları ve komplike olmamış pnömoni)  8 saatte bir  İM 750 mg olarak önerilmektedir. </w:t>
      </w:r>
    </w:p>
    <w:p w:rsidR="00C0016F" w:rsidRPr="00D176D9" w:rsidRDefault="00C0016F" w:rsidP="00C0016F">
      <w:pPr>
        <w:spacing w:line="360" w:lineRule="auto"/>
        <w:jc w:val="both"/>
        <w:rPr>
          <w:lang w:val="tr-TR"/>
        </w:rPr>
      </w:pPr>
      <w:r w:rsidRPr="00D176D9">
        <w:rPr>
          <w:lang w:val="tr-TR"/>
        </w:rPr>
        <w:t xml:space="preserve">Ağır ve komplike enfeksiyonlar </w:t>
      </w:r>
      <w:proofErr w:type="gramStart"/>
      <w:r w:rsidRPr="00D176D9">
        <w:rPr>
          <w:lang w:val="tr-TR"/>
        </w:rPr>
        <w:t>da  bu</w:t>
      </w:r>
      <w:proofErr w:type="gramEnd"/>
      <w:r w:rsidRPr="00D176D9">
        <w:rPr>
          <w:lang w:val="tr-TR"/>
        </w:rPr>
        <w:t xml:space="preserve"> doz günde 3 kez olarak 1.5 g' a kadar arttırılmalıdır.</w:t>
      </w:r>
    </w:p>
    <w:p w:rsidR="00C0016F" w:rsidRPr="00D176D9" w:rsidRDefault="00C0016F" w:rsidP="00C0016F">
      <w:pPr>
        <w:spacing w:line="360" w:lineRule="auto"/>
        <w:jc w:val="both"/>
        <w:rPr>
          <w:lang w:val="tr-TR"/>
        </w:rPr>
      </w:pPr>
      <w:r w:rsidRPr="00D176D9">
        <w:rPr>
          <w:lang w:val="tr-TR"/>
        </w:rPr>
        <w:t xml:space="preserve">Kemik ve eklem </w:t>
      </w:r>
      <w:proofErr w:type="gramStart"/>
      <w:r w:rsidRPr="00D176D9">
        <w:rPr>
          <w:lang w:val="tr-TR"/>
        </w:rPr>
        <w:t>enfeksiyonlarında</w:t>
      </w:r>
      <w:proofErr w:type="gramEnd"/>
      <w:r w:rsidRPr="00D176D9">
        <w:rPr>
          <w:lang w:val="tr-TR"/>
        </w:rPr>
        <w:t xml:space="preserve"> 8 saat ara ile1.5 gram sefuroksim önerilir.</w:t>
      </w:r>
    </w:p>
    <w:p w:rsidR="00C0016F" w:rsidRPr="00D176D9" w:rsidRDefault="00C0016F" w:rsidP="00C0016F">
      <w:pPr>
        <w:spacing w:line="360" w:lineRule="auto"/>
        <w:jc w:val="both"/>
        <w:rPr>
          <w:lang w:val="tr-TR"/>
        </w:rPr>
      </w:pPr>
      <w:r w:rsidRPr="00D176D9">
        <w:rPr>
          <w:lang w:val="tr-TR"/>
        </w:rPr>
        <w:lastRenderedPageBreak/>
        <w:t xml:space="preserve">Hayatı tehdit eden infeksiyonlar ile daha az duyarlı mikroorganizmaların neden olduğu infeksiyonlarda 6 saat </w:t>
      </w:r>
      <w:proofErr w:type="gramStart"/>
      <w:r w:rsidRPr="00D176D9">
        <w:rPr>
          <w:lang w:val="tr-TR"/>
        </w:rPr>
        <w:t>arayla  1</w:t>
      </w:r>
      <w:proofErr w:type="gramEnd"/>
      <w:r w:rsidRPr="00D176D9">
        <w:rPr>
          <w:lang w:val="tr-TR"/>
        </w:rPr>
        <w:t>.5 g sefuroksim  uygulanması gerekebilir.</w:t>
      </w:r>
    </w:p>
    <w:p w:rsidR="00C0016F" w:rsidRPr="00D176D9" w:rsidRDefault="00C0016F" w:rsidP="00C0016F">
      <w:pPr>
        <w:spacing w:line="360" w:lineRule="auto"/>
        <w:jc w:val="both"/>
        <w:rPr>
          <w:lang w:val="tr-TR"/>
        </w:rPr>
      </w:pPr>
      <w:r w:rsidRPr="00D176D9">
        <w:rPr>
          <w:lang w:val="tr-TR"/>
        </w:rPr>
        <w:t>Bakteriyel menenjit olgularında 8 saat ara ile uygulanan doz, her uygulama için 3 gramı aşmamalıdır.</w:t>
      </w:r>
    </w:p>
    <w:p w:rsidR="00C0016F" w:rsidRPr="00D176D9" w:rsidRDefault="00C0016F" w:rsidP="00C0016F">
      <w:pPr>
        <w:spacing w:line="360" w:lineRule="auto"/>
        <w:jc w:val="both"/>
        <w:outlineLvl w:val="0"/>
        <w:rPr>
          <w:b/>
          <w:lang w:val="tr-TR"/>
        </w:rPr>
      </w:pPr>
      <w:r w:rsidRPr="00D176D9">
        <w:rPr>
          <w:b/>
          <w:lang w:val="tr-TR"/>
        </w:rPr>
        <w:t xml:space="preserve">Gonore: </w:t>
      </w:r>
    </w:p>
    <w:p w:rsidR="00C0016F" w:rsidRPr="00D176D9" w:rsidRDefault="00C0016F" w:rsidP="00C0016F">
      <w:pPr>
        <w:spacing w:line="360" w:lineRule="auto"/>
        <w:jc w:val="both"/>
        <w:rPr>
          <w:lang w:val="tr-TR"/>
        </w:rPr>
      </w:pPr>
      <w:r w:rsidRPr="00D176D9">
        <w:rPr>
          <w:lang w:val="tr-TR"/>
        </w:rPr>
        <w:t xml:space="preserve">Gonore tedavisinde CEFAKS, </w:t>
      </w:r>
      <w:proofErr w:type="gramStart"/>
      <w:r w:rsidRPr="00D176D9">
        <w:rPr>
          <w:lang w:val="tr-TR"/>
        </w:rPr>
        <w:t>1.5</w:t>
      </w:r>
      <w:proofErr w:type="gramEnd"/>
      <w:r w:rsidRPr="00D176D9">
        <w:rPr>
          <w:lang w:val="tr-TR"/>
        </w:rPr>
        <w:t xml:space="preserve"> g tek doz olarak uygulanmalıdır ve bu doz farklı yerlerden örneğin her bir kalçadan iki adet 750 mg CEFAKS’ın İM yoldan uygulanmasıyla yapılabilir. </w:t>
      </w:r>
    </w:p>
    <w:p w:rsidR="00C0016F" w:rsidRPr="00D176D9" w:rsidRDefault="00C0016F" w:rsidP="00C0016F">
      <w:pPr>
        <w:spacing w:line="360" w:lineRule="auto"/>
        <w:ind w:right="-662"/>
        <w:jc w:val="both"/>
        <w:outlineLvl w:val="0"/>
        <w:rPr>
          <w:b/>
          <w:lang w:val="tr-TR"/>
        </w:rPr>
      </w:pPr>
      <w:r w:rsidRPr="00D176D9">
        <w:rPr>
          <w:b/>
          <w:lang w:val="tr-TR"/>
        </w:rPr>
        <w:t xml:space="preserve">Cerrahi Profilaksi: </w:t>
      </w:r>
    </w:p>
    <w:p w:rsidR="00C0016F" w:rsidRPr="00D176D9" w:rsidRDefault="00C0016F" w:rsidP="00C0016F">
      <w:pPr>
        <w:spacing w:line="360" w:lineRule="auto"/>
        <w:jc w:val="both"/>
        <w:rPr>
          <w:lang w:val="tr-TR"/>
        </w:rPr>
      </w:pPr>
      <w:r w:rsidRPr="00D176D9">
        <w:rPr>
          <w:lang w:val="tr-TR"/>
        </w:rPr>
        <w:t xml:space="preserve">Temiz–kontamine veya potansiyel kontamine cerrahi </w:t>
      </w:r>
      <w:proofErr w:type="gramStart"/>
      <w:r w:rsidRPr="00D176D9">
        <w:rPr>
          <w:lang w:val="tr-TR"/>
        </w:rPr>
        <w:t>prosedürlerde  profilaktik</w:t>
      </w:r>
      <w:proofErr w:type="gramEnd"/>
      <w:r w:rsidRPr="00D176D9">
        <w:rPr>
          <w:lang w:val="tr-TR"/>
        </w:rPr>
        <w:t xml:space="preserve"> olarak 1.5 g  sefuroksimin ameliyattan hemen önce (insizyona başlamadan yaklaşık 1  saat önce) uygulanması önerilir. Bu doz operasyondan 8 ve 16 saat sonra İM olarak iki kez daha 750 mg'lık dozlar ile desteklenebilir.</w:t>
      </w:r>
    </w:p>
    <w:p w:rsidR="00C0016F" w:rsidRPr="00D176D9" w:rsidRDefault="00C0016F" w:rsidP="00C0016F">
      <w:pPr>
        <w:spacing w:line="360" w:lineRule="auto"/>
        <w:jc w:val="both"/>
        <w:rPr>
          <w:lang w:val="tr-TR"/>
        </w:rPr>
      </w:pPr>
      <w:r w:rsidRPr="00D176D9">
        <w:rPr>
          <w:lang w:val="tr-TR"/>
        </w:rPr>
        <w:t xml:space="preserve">Açık kalp ameliyatlarında profilaktik olarak </w:t>
      </w:r>
      <w:proofErr w:type="gramStart"/>
      <w:r w:rsidRPr="00D176D9">
        <w:rPr>
          <w:lang w:val="tr-TR"/>
        </w:rPr>
        <w:t>1.5</w:t>
      </w:r>
      <w:proofErr w:type="gramEnd"/>
      <w:r w:rsidRPr="00D176D9">
        <w:rPr>
          <w:lang w:val="tr-TR"/>
        </w:rPr>
        <w:t xml:space="preserve"> g sefuroksim anestezi indüksiyonunda uygulanmalı ve daha sonra 12 saatlik aralıklarla bu doz tekrarlanmalıdır (toplam doz 6 g olacak şekilde)</w:t>
      </w:r>
    </w:p>
    <w:p w:rsidR="00C0016F" w:rsidRPr="00D176D9" w:rsidRDefault="00C0016F" w:rsidP="00C0016F">
      <w:pPr>
        <w:spacing w:line="360" w:lineRule="auto"/>
        <w:jc w:val="both"/>
        <w:rPr>
          <w:lang w:val="tr-TR"/>
        </w:rPr>
      </w:pPr>
      <w:r w:rsidRPr="00D176D9">
        <w:rPr>
          <w:lang w:val="tr-TR"/>
        </w:rPr>
        <w:t>Sefuroksimin parenteral uygulanmasının tamamlanmasını takiben oral antibiyotiklere geçilebilir.</w:t>
      </w:r>
    </w:p>
    <w:p w:rsidR="00C0016F" w:rsidRPr="00D176D9" w:rsidRDefault="00C0016F" w:rsidP="00C0016F">
      <w:pPr>
        <w:spacing w:line="360" w:lineRule="auto"/>
        <w:ind w:right="-662"/>
        <w:jc w:val="both"/>
        <w:outlineLvl w:val="0"/>
        <w:rPr>
          <w:b/>
          <w:lang w:val="tr-TR"/>
        </w:rPr>
      </w:pPr>
      <w:r w:rsidRPr="00D176D9">
        <w:rPr>
          <w:b/>
          <w:lang w:val="tr-TR"/>
        </w:rPr>
        <w:t>Ardışık sıralı tedavi:</w:t>
      </w:r>
    </w:p>
    <w:p w:rsidR="00C0016F" w:rsidRPr="00D176D9" w:rsidRDefault="00C0016F" w:rsidP="00C0016F">
      <w:pPr>
        <w:spacing w:line="360" w:lineRule="auto"/>
        <w:jc w:val="both"/>
        <w:rPr>
          <w:lang w:val="tr-TR"/>
        </w:rPr>
      </w:pPr>
      <w:r w:rsidRPr="00D176D9">
        <w:rPr>
          <w:b/>
          <w:lang w:val="tr-TR"/>
        </w:rPr>
        <w:t xml:space="preserve">Pnömoni: </w:t>
      </w:r>
      <w:r w:rsidRPr="00D176D9">
        <w:rPr>
          <w:lang w:val="tr-TR"/>
        </w:rPr>
        <w:t xml:space="preserve">48-72 saat süre ile </w:t>
      </w:r>
      <w:proofErr w:type="gramStart"/>
      <w:r w:rsidRPr="00D176D9">
        <w:rPr>
          <w:lang w:val="tr-TR"/>
        </w:rPr>
        <w:t>1.5</w:t>
      </w:r>
      <w:proofErr w:type="gramEnd"/>
      <w:r w:rsidRPr="00D176D9">
        <w:rPr>
          <w:lang w:val="tr-TR"/>
        </w:rPr>
        <w:t xml:space="preserve"> gr günde iki defa IM uygulandıktan sonra </w:t>
      </w:r>
      <w:r w:rsidR="004D1E81" w:rsidRPr="00D176D9">
        <w:rPr>
          <w:lang w:val="tr-TR"/>
        </w:rPr>
        <w:t xml:space="preserve">uygun oral antibiyotik ile tedaviye devam edilebilir. </w:t>
      </w:r>
    </w:p>
    <w:p w:rsidR="004D1E81" w:rsidRPr="00D176D9" w:rsidRDefault="00C0016F" w:rsidP="004D1E81">
      <w:pPr>
        <w:spacing w:line="360" w:lineRule="auto"/>
        <w:jc w:val="both"/>
        <w:rPr>
          <w:lang w:val="tr-TR"/>
        </w:rPr>
      </w:pPr>
      <w:r w:rsidRPr="00D176D9">
        <w:rPr>
          <w:b/>
          <w:lang w:val="tr-TR"/>
        </w:rPr>
        <w:t>Kronik bronşitin akut alevlenmesi:</w:t>
      </w:r>
      <w:r w:rsidRPr="00D176D9">
        <w:rPr>
          <w:lang w:val="tr-TR"/>
        </w:rPr>
        <w:t xml:space="preserve"> 48-72 saat süre ile 750 </w:t>
      </w:r>
      <w:proofErr w:type="gramStart"/>
      <w:r w:rsidRPr="00D176D9">
        <w:rPr>
          <w:lang w:val="tr-TR"/>
        </w:rPr>
        <w:t>mg  günde</w:t>
      </w:r>
      <w:proofErr w:type="gramEnd"/>
      <w:r w:rsidRPr="00D176D9">
        <w:rPr>
          <w:lang w:val="tr-TR"/>
        </w:rPr>
        <w:t xml:space="preserve"> iki defa IM uygulandıktan sonra </w:t>
      </w:r>
      <w:r w:rsidR="004D1E81" w:rsidRPr="00D176D9">
        <w:rPr>
          <w:lang w:val="tr-TR"/>
        </w:rPr>
        <w:t>uygun oral antibiyotik ile tedaviye devam edilebilir.</w:t>
      </w:r>
    </w:p>
    <w:p w:rsidR="00C0016F" w:rsidRPr="00D176D9" w:rsidRDefault="00C0016F" w:rsidP="00C0016F">
      <w:pPr>
        <w:spacing w:line="360" w:lineRule="auto"/>
        <w:jc w:val="both"/>
        <w:rPr>
          <w:lang w:val="tr-TR"/>
        </w:rPr>
      </w:pPr>
      <w:r w:rsidRPr="00D176D9">
        <w:rPr>
          <w:lang w:val="tr-TR"/>
        </w:rPr>
        <w:t xml:space="preserve">Parenteral ve oral </w:t>
      </w:r>
      <w:proofErr w:type="gramStart"/>
      <w:r w:rsidRPr="00D176D9">
        <w:rPr>
          <w:lang w:val="tr-TR"/>
        </w:rPr>
        <w:t>terapinin</w:t>
      </w:r>
      <w:proofErr w:type="gramEnd"/>
      <w:r w:rsidRPr="00D176D9">
        <w:rPr>
          <w:lang w:val="tr-TR"/>
        </w:rPr>
        <w:t xml:space="preserve"> süresi enfeksiyonun ciddiyeti ve hastanın klinik durumuna göre belirlenmelidir.</w:t>
      </w:r>
    </w:p>
    <w:p w:rsidR="00C0016F" w:rsidRPr="00D176D9" w:rsidRDefault="00C0016F" w:rsidP="00C0016F">
      <w:pPr>
        <w:spacing w:line="360" w:lineRule="auto"/>
        <w:jc w:val="both"/>
        <w:rPr>
          <w:lang w:val="tr-TR"/>
        </w:rPr>
      </w:pPr>
      <w:r w:rsidRPr="00D176D9">
        <w:rPr>
          <w:lang w:val="tr-TR"/>
        </w:rPr>
        <w:t xml:space="preserve">Sefuroksimin, (CEFAKS Enjektabl Flakon) aynı zamanda oral uygulama için sefuroksim </w:t>
      </w:r>
      <w:proofErr w:type="gramStart"/>
      <w:r w:rsidRPr="00D176D9">
        <w:rPr>
          <w:lang w:val="tr-TR"/>
        </w:rPr>
        <w:t>aksetil  ester</w:t>
      </w:r>
      <w:proofErr w:type="gramEnd"/>
      <w:r w:rsidRPr="00D176D9">
        <w:rPr>
          <w:lang w:val="tr-TR"/>
        </w:rPr>
        <w:t xml:space="preserve"> formu (CEFAKS Film Tablet) mevcuttur. Bu parenteral tedavinin oral uygulamaya değiştirilmesinin klinik olarak endike olduğu durumlarda, sefuroksim parenteral tedavisine oral tedavi ile devam olanağı sağlar. </w:t>
      </w:r>
    </w:p>
    <w:p w:rsidR="00C0016F" w:rsidRPr="00D176D9" w:rsidRDefault="00C0016F" w:rsidP="00C0016F">
      <w:pPr>
        <w:spacing w:line="360" w:lineRule="auto"/>
        <w:ind w:right="-662"/>
        <w:jc w:val="both"/>
        <w:outlineLvl w:val="0"/>
        <w:rPr>
          <w:b/>
          <w:lang w:val="tr-TR"/>
        </w:rPr>
      </w:pPr>
      <w:r w:rsidRPr="00D176D9">
        <w:rPr>
          <w:b/>
          <w:lang w:val="tr-TR"/>
        </w:rPr>
        <w:t>Tedavi süresi:</w:t>
      </w:r>
    </w:p>
    <w:p w:rsidR="00C0016F" w:rsidRPr="00D176D9" w:rsidRDefault="00C0016F" w:rsidP="00C0016F">
      <w:pPr>
        <w:spacing w:line="360" w:lineRule="auto"/>
        <w:jc w:val="both"/>
        <w:outlineLvl w:val="0"/>
        <w:rPr>
          <w:lang w:val="tr-TR"/>
        </w:rPr>
      </w:pPr>
      <w:r w:rsidRPr="00D176D9">
        <w:rPr>
          <w:lang w:val="tr-TR"/>
        </w:rPr>
        <w:t xml:space="preserve">Genel olarak tüm antibiyotik tedavilerinde olduğu gibi sefuroksim sodyum tedavisine de semptomlar kaybolduktan ya da bakteriyel eradikasyonun sağlandığı </w:t>
      </w:r>
      <w:proofErr w:type="gramStart"/>
      <w:r w:rsidRPr="00D176D9">
        <w:rPr>
          <w:lang w:val="tr-TR"/>
        </w:rPr>
        <w:t>kanıtlandıktan  sonra</w:t>
      </w:r>
      <w:proofErr w:type="gramEnd"/>
      <w:r w:rsidRPr="00D176D9">
        <w:rPr>
          <w:lang w:val="tr-TR"/>
        </w:rPr>
        <w:t xml:space="preserve"> minimum 48-72 saat süre ile devam edilmelidir.</w:t>
      </w:r>
    </w:p>
    <w:p w:rsidR="00C0016F" w:rsidRPr="00D176D9" w:rsidRDefault="00C0016F" w:rsidP="00C0016F">
      <w:pPr>
        <w:spacing w:line="360" w:lineRule="auto"/>
        <w:jc w:val="both"/>
        <w:outlineLvl w:val="0"/>
        <w:rPr>
          <w:lang w:val="tr-TR"/>
        </w:rPr>
      </w:pPr>
      <w:r w:rsidRPr="00D176D9">
        <w:rPr>
          <w:lang w:val="tr-TR"/>
        </w:rPr>
        <w:t xml:space="preserve">Streptococcus pyogenes’in neden olduğu infeksiyonların tedavisinde, ateşli romatizma ya da </w:t>
      </w:r>
      <w:proofErr w:type="gramStart"/>
      <w:r w:rsidRPr="00D176D9">
        <w:rPr>
          <w:lang w:val="tr-TR"/>
        </w:rPr>
        <w:t>glomerulonefrit  riskine</w:t>
      </w:r>
      <w:proofErr w:type="gramEnd"/>
      <w:r w:rsidRPr="00D176D9">
        <w:rPr>
          <w:lang w:val="tr-TR"/>
        </w:rPr>
        <w:t xml:space="preserve"> karşı koruma sağlamak için minimum 10 gün süreyle tedavi önerilir. İnatçı infeksiyonlar için birkaç hafta gerekebilir ve yukarıda belirtilenlerin altında dozlar kullanılmamalıdır.</w:t>
      </w:r>
    </w:p>
    <w:p w:rsidR="00C01E11" w:rsidRPr="00D176D9" w:rsidRDefault="00C01E11" w:rsidP="00C0016F">
      <w:pPr>
        <w:spacing w:line="360" w:lineRule="auto"/>
        <w:jc w:val="both"/>
        <w:outlineLvl w:val="0"/>
        <w:rPr>
          <w:lang w:val="tr-TR"/>
        </w:rPr>
      </w:pPr>
    </w:p>
    <w:p w:rsidR="00C01E11" w:rsidRPr="00D176D9" w:rsidRDefault="00C01E11" w:rsidP="00C01E11">
      <w:pPr>
        <w:autoSpaceDE w:val="0"/>
        <w:autoSpaceDN w:val="0"/>
        <w:adjustRightInd w:val="0"/>
        <w:spacing w:line="360" w:lineRule="auto"/>
        <w:jc w:val="both"/>
        <w:rPr>
          <w:b/>
          <w:lang w:val="tr-TR"/>
        </w:rPr>
      </w:pPr>
      <w:r w:rsidRPr="00D176D9">
        <w:rPr>
          <w:b/>
          <w:lang w:val="tr-TR"/>
        </w:rPr>
        <w:t>Uygulama şekli:</w:t>
      </w:r>
    </w:p>
    <w:p w:rsidR="00C01E11" w:rsidRPr="00D176D9" w:rsidRDefault="00C01E11" w:rsidP="00C01E11">
      <w:pPr>
        <w:autoSpaceDE w:val="0"/>
        <w:autoSpaceDN w:val="0"/>
        <w:adjustRightInd w:val="0"/>
        <w:spacing w:line="360" w:lineRule="auto"/>
        <w:jc w:val="both"/>
        <w:rPr>
          <w:lang w:val="tr-TR"/>
        </w:rPr>
      </w:pPr>
      <w:r w:rsidRPr="00D176D9">
        <w:rPr>
          <w:lang w:val="tr-TR"/>
        </w:rPr>
        <w:t xml:space="preserve">Büyük bir kas kitlesi içine (gluteal ya da kalçanın dış kısmı) derin IM </w:t>
      </w:r>
      <w:proofErr w:type="gramStart"/>
      <w:r w:rsidRPr="00D176D9">
        <w:rPr>
          <w:lang w:val="tr-TR"/>
        </w:rPr>
        <w:t>enjeksiyon</w:t>
      </w:r>
      <w:proofErr w:type="gramEnd"/>
      <w:r w:rsidRPr="00D176D9">
        <w:rPr>
          <w:lang w:val="tr-TR"/>
        </w:rPr>
        <w:t xml:space="preserve"> şeklinde uygulanabilir.</w:t>
      </w:r>
    </w:p>
    <w:p w:rsidR="00C01E11" w:rsidRPr="00D176D9" w:rsidRDefault="00C01E11" w:rsidP="00C01E11">
      <w:pPr>
        <w:autoSpaceDE w:val="0"/>
        <w:autoSpaceDN w:val="0"/>
        <w:adjustRightInd w:val="0"/>
        <w:spacing w:line="360" w:lineRule="auto"/>
        <w:jc w:val="both"/>
        <w:rPr>
          <w:lang w:val="tr-TR"/>
        </w:rPr>
      </w:pPr>
      <w:r w:rsidRPr="00D176D9">
        <w:rPr>
          <w:lang w:val="tr-TR"/>
        </w:rPr>
        <w:t xml:space="preserve">CEFAKS 500 mg IM enjektabl toz içeren flakon, çözücü olarak 2 ml %1 lidokain hidroklorür çözeltisi içerir ve yalnız </w:t>
      </w:r>
      <w:proofErr w:type="spellStart"/>
      <w:r w:rsidRPr="00D176D9">
        <w:rPr>
          <w:lang w:val="tr-TR"/>
        </w:rPr>
        <w:t>intramüsküler</w:t>
      </w:r>
      <w:proofErr w:type="spellEnd"/>
      <w:r w:rsidRPr="00D176D9">
        <w:rPr>
          <w:lang w:val="tr-TR"/>
        </w:rPr>
        <w:t xml:space="preserve"> yoldan uygulanır.</w:t>
      </w:r>
    </w:p>
    <w:p w:rsidR="00C01E11" w:rsidRPr="00D176D9" w:rsidRDefault="00C01E11" w:rsidP="00C01E11">
      <w:pPr>
        <w:autoSpaceDE w:val="0"/>
        <w:autoSpaceDN w:val="0"/>
        <w:adjustRightInd w:val="0"/>
        <w:spacing w:line="360" w:lineRule="auto"/>
        <w:jc w:val="both"/>
        <w:rPr>
          <w:b/>
          <w:lang w:val="tr-TR"/>
        </w:rPr>
      </w:pPr>
      <w:r w:rsidRPr="00D176D9">
        <w:rPr>
          <w:b/>
          <w:lang w:val="tr-TR"/>
        </w:rPr>
        <w:t>İntramüsküler kullanım için solüsyon hazırlanması:</w:t>
      </w:r>
    </w:p>
    <w:p w:rsidR="00C01E11" w:rsidRPr="00D176D9" w:rsidRDefault="00C01E11" w:rsidP="00C01E11">
      <w:pPr>
        <w:autoSpaceDE w:val="0"/>
        <w:autoSpaceDN w:val="0"/>
        <w:adjustRightInd w:val="0"/>
        <w:spacing w:line="360" w:lineRule="auto"/>
        <w:jc w:val="both"/>
        <w:rPr>
          <w:lang w:val="tr-TR"/>
        </w:rPr>
      </w:pPr>
      <w:r w:rsidRPr="00D176D9">
        <w:rPr>
          <w:lang w:val="tr-TR"/>
        </w:rPr>
        <w:t>CEFAKS 500 mg IM enjektabl toz içeren flakon, 2 ml %1 'lik Lidokain hidroklorür çözeltisi ile sulandırılır ve hafif opak bir süspansiyon oluşuncaya kadar çalkalanır.</w:t>
      </w:r>
    </w:p>
    <w:p w:rsidR="00C01E11" w:rsidRPr="00D176D9" w:rsidRDefault="00C01E11" w:rsidP="00C01E11">
      <w:pPr>
        <w:autoSpaceDE w:val="0"/>
        <w:autoSpaceDN w:val="0"/>
        <w:adjustRightInd w:val="0"/>
        <w:spacing w:line="360" w:lineRule="auto"/>
        <w:jc w:val="both"/>
        <w:rPr>
          <w:u w:val="single"/>
          <w:lang w:val="tr-TR"/>
        </w:rPr>
      </w:pPr>
      <w:r w:rsidRPr="00D176D9">
        <w:rPr>
          <w:lang w:val="tr-TR"/>
        </w:rPr>
        <w:t xml:space="preserve">Süspansiyonun tümü enjektöre çekilerek intramüsküler yoldan uygulanır. 2 ml  % 1'lik Lidokain hidroklorür çözeltisi ile hazırlanan bu süspansiyon </w:t>
      </w:r>
      <w:proofErr w:type="spellStart"/>
      <w:r w:rsidRPr="00D176D9">
        <w:rPr>
          <w:lang w:val="tr-TR"/>
        </w:rPr>
        <w:t>intravenöz</w:t>
      </w:r>
      <w:proofErr w:type="spellEnd"/>
      <w:r w:rsidRPr="00D176D9">
        <w:rPr>
          <w:lang w:val="tr-TR"/>
        </w:rPr>
        <w:t xml:space="preserve"> yoldan </w:t>
      </w:r>
      <w:r w:rsidRPr="00D176D9">
        <w:rPr>
          <w:u w:val="single"/>
          <w:lang w:val="tr-TR"/>
        </w:rPr>
        <w:t>uygulanmamalıdır.</w:t>
      </w:r>
    </w:p>
    <w:p w:rsidR="00C01E11" w:rsidRPr="00D176D9" w:rsidRDefault="00C01E11" w:rsidP="00C01E11">
      <w:pPr>
        <w:spacing w:line="360" w:lineRule="auto"/>
        <w:jc w:val="both"/>
        <w:rPr>
          <w:lang w:val="tr-TR"/>
        </w:rPr>
      </w:pPr>
      <w:r w:rsidRPr="00D176D9">
        <w:rPr>
          <w:lang w:val="tr-TR"/>
        </w:rPr>
        <w:t>Uygulama için hazırlandığında hafifçe opak bir süspansiyon halini alır.</w:t>
      </w:r>
    </w:p>
    <w:p w:rsidR="00C0016F" w:rsidRPr="00D176D9" w:rsidRDefault="00C0016F" w:rsidP="00C0016F">
      <w:pPr>
        <w:autoSpaceDE w:val="0"/>
        <w:autoSpaceDN w:val="0"/>
        <w:adjustRightInd w:val="0"/>
        <w:spacing w:line="360" w:lineRule="auto"/>
        <w:rPr>
          <w:b/>
          <w:bCs/>
          <w:lang w:val="tr-TR" w:eastAsia="tr-TR"/>
        </w:rPr>
      </w:pPr>
    </w:p>
    <w:p w:rsidR="00C0016F" w:rsidRPr="00D176D9" w:rsidRDefault="00C0016F" w:rsidP="00C0016F">
      <w:pPr>
        <w:autoSpaceDE w:val="0"/>
        <w:autoSpaceDN w:val="0"/>
        <w:adjustRightInd w:val="0"/>
        <w:spacing w:line="360" w:lineRule="auto"/>
        <w:jc w:val="both"/>
        <w:rPr>
          <w:b/>
        </w:rPr>
      </w:pPr>
      <w:r w:rsidRPr="00D176D9">
        <w:rPr>
          <w:b/>
        </w:rPr>
        <w:t>Özel popülasyona ilişkin ek bilgiler</w:t>
      </w:r>
    </w:p>
    <w:p w:rsidR="00C0016F" w:rsidRPr="00D176D9" w:rsidRDefault="00C0016F" w:rsidP="00C0016F">
      <w:pPr>
        <w:autoSpaceDE w:val="0"/>
        <w:autoSpaceDN w:val="0"/>
        <w:adjustRightInd w:val="0"/>
        <w:spacing w:line="360" w:lineRule="auto"/>
        <w:jc w:val="both"/>
        <w:rPr>
          <w:b/>
          <w:iCs/>
        </w:rPr>
      </w:pPr>
      <w:r w:rsidRPr="00D176D9">
        <w:rPr>
          <w:b/>
          <w:iCs/>
        </w:rPr>
        <w:t>Böbrek/ Karaciğer yetmezliği:</w:t>
      </w:r>
    </w:p>
    <w:p w:rsidR="00C0016F" w:rsidRPr="00D176D9" w:rsidRDefault="00C0016F" w:rsidP="00C0016F">
      <w:pPr>
        <w:spacing w:line="360" w:lineRule="auto"/>
        <w:jc w:val="both"/>
        <w:outlineLvl w:val="0"/>
        <w:rPr>
          <w:b/>
          <w:lang w:val="tr-TR"/>
        </w:rPr>
      </w:pPr>
      <w:r w:rsidRPr="00D176D9">
        <w:rPr>
          <w:b/>
          <w:lang w:val="tr-TR"/>
        </w:rPr>
        <w:t>Böbrek fonksiyon bozukluğunda dozun ayarlanması:</w:t>
      </w:r>
    </w:p>
    <w:p w:rsidR="00C0016F" w:rsidRPr="00D176D9" w:rsidRDefault="00C0016F" w:rsidP="00C0016F">
      <w:pPr>
        <w:spacing w:line="360" w:lineRule="auto"/>
        <w:jc w:val="both"/>
        <w:rPr>
          <w:lang w:val="tr-TR"/>
        </w:rPr>
      </w:pPr>
      <w:r w:rsidRPr="00D176D9">
        <w:rPr>
          <w:lang w:val="tr-TR"/>
        </w:rPr>
        <w:t>Kreatinin klerensi 20 ml/dak’a veya altına düşünceye kadar doz ayarlaması yapılması gerekmez ve mutad dozlar (750 mg-</w:t>
      </w:r>
      <w:proofErr w:type="gramStart"/>
      <w:r w:rsidRPr="00D176D9">
        <w:rPr>
          <w:lang w:val="tr-TR"/>
        </w:rPr>
        <w:t>1.5</w:t>
      </w:r>
      <w:proofErr w:type="gramEnd"/>
      <w:r w:rsidRPr="00D176D9">
        <w:rPr>
          <w:lang w:val="tr-TR"/>
        </w:rPr>
        <w:t xml:space="preserve"> g 3x1) uygulanabilir. </w:t>
      </w:r>
    </w:p>
    <w:p w:rsidR="00C0016F" w:rsidRPr="00D176D9" w:rsidRDefault="00C0016F" w:rsidP="00C0016F">
      <w:pPr>
        <w:spacing w:line="360" w:lineRule="auto"/>
        <w:jc w:val="both"/>
        <w:rPr>
          <w:lang w:val="tr-TR"/>
        </w:rPr>
      </w:pPr>
      <w:r w:rsidRPr="00D176D9">
        <w:rPr>
          <w:lang w:val="tr-TR"/>
        </w:rPr>
        <w:t xml:space="preserve">Kreatinin klerensi 10-20 ml/dak. </w:t>
      </w:r>
      <w:proofErr w:type="gramStart"/>
      <w:r w:rsidRPr="00D176D9">
        <w:rPr>
          <w:lang w:val="tr-TR"/>
        </w:rPr>
        <w:t>olan</w:t>
      </w:r>
      <w:proofErr w:type="gramEnd"/>
      <w:r w:rsidRPr="00D176D9">
        <w:rPr>
          <w:lang w:val="tr-TR"/>
        </w:rPr>
        <w:t xml:space="preserve"> erişkinlerde dozun günde 2 kez 750 mg’a düşürülmesi tavsiye edilir. </w:t>
      </w:r>
    </w:p>
    <w:p w:rsidR="00C0016F" w:rsidRPr="00D176D9" w:rsidRDefault="00C0016F" w:rsidP="00C0016F">
      <w:pPr>
        <w:spacing w:line="360" w:lineRule="auto"/>
        <w:jc w:val="both"/>
        <w:rPr>
          <w:lang w:val="tr-TR"/>
        </w:rPr>
      </w:pPr>
      <w:r w:rsidRPr="00D176D9">
        <w:rPr>
          <w:lang w:val="tr-TR"/>
        </w:rPr>
        <w:t>Kreatinin klerensi 10 ml/dak.'</w:t>
      </w:r>
      <w:proofErr w:type="gramStart"/>
      <w:r w:rsidRPr="00D176D9">
        <w:rPr>
          <w:lang w:val="tr-TR"/>
        </w:rPr>
        <w:t>dan</w:t>
      </w:r>
      <w:proofErr w:type="gramEnd"/>
      <w:r w:rsidRPr="00D176D9">
        <w:rPr>
          <w:lang w:val="tr-TR"/>
        </w:rPr>
        <w:t xml:space="preserve"> daha düşük olan ağır böbrek yetmezliği olan hastalarda ise günde tek doz 750 mg yeterlidir. </w:t>
      </w:r>
    </w:p>
    <w:p w:rsidR="00C0016F" w:rsidRPr="00D176D9" w:rsidRDefault="00C0016F" w:rsidP="00C0016F">
      <w:pPr>
        <w:spacing w:line="360" w:lineRule="auto"/>
        <w:jc w:val="both"/>
        <w:rPr>
          <w:lang w:val="tr-TR"/>
        </w:rPr>
      </w:pPr>
      <w:r w:rsidRPr="00D176D9">
        <w:rPr>
          <w:lang w:val="tr-TR"/>
        </w:rPr>
        <w:t xml:space="preserve">Hemodiyalizdeki hastalara,  uygulanan doz her diyaliz sonunda verilmelidir. </w:t>
      </w:r>
    </w:p>
    <w:p w:rsidR="00C0016F" w:rsidRPr="00D176D9" w:rsidRDefault="00C0016F" w:rsidP="00C0016F">
      <w:pPr>
        <w:spacing w:line="360" w:lineRule="auto"/>
        <w:ind w:right="-662"/>
        <w:jc w:val="both"/>
        <w:outlineLvl w:val="0"/>
        <w:rPr>
          <w:lang w:val="tr-TR"/>
        </w:rPr>
      </w:pPr>
      <w:r w:rsidRPr="00D176D9">
        <w:rPr>
          <w:lang w:val="tr-TR"/>
        </w:rPr>
        <w:t>Sadece serum kreatinin ölçümü mevcutsa aşağıdaki formül yardımı ile ortalama kreatin klerens değeri hesaplanabilir.</w:t>
      </w:r>
    </w:p>
    <w:p w:rsidR="00C0016F" w:rsidRPr="00D176D9" w:rsidRDefault="00C0016F" w:rsidP="00C0016F">
      <w:pPr>
        <w:spacing w:line="360" w:lineRule="auto"/>
        <w:ind w:right="-662"/>
        <w:jc w:val="both"/>
        <w:outlineLvl w:val="0"/>
        <w:rPr>
          <w:lang w:val="tr-TR"/>
        </w:rPr>
      </w:pPr>
      <w:r w:rsidRPr="00D176D9">
        <w:rPr>
          <w:lang w:val="tr-TR"/>
        </w:rPr>
        <w:t>Erkek hastalarda;</w:t>
      </w:r>
    </w:p>
    <w:p w:rsidR="00C0016F" w:rsidRPr="00D176D9" w:rsidRDefault="00C0016F" w:rsidP="00C0016F">
      <w:pPr>
        <w:spacing w:line="360" w:lineRule="auto"/>
        <w:ind w:right="-662"/>
        <w:jc w:val="both"/>
        <w:outlineLvl w:val="0"/>
        <w:rPr>
          <w:b/>
          <w:u w:val="single"/>
          <w:lang w:val="tr-TR"/>
        </w:rPr>
      </w:pPr>
      <w:r w:rsidRPr="00D176D9">
        <w:rPr>
          <w:lang w:val="tr-TR"/>
        </w:rPr>
        <w:t xml:space="preserve">Kreatin Klerensi=   </w:t>
      </w:r>
      <w:r w:rsidRPr="00D176D9">
        <w:rPr>
          <w:u w:val="single"/>
          <w:lang w:val="tr-TR"/>
        </w:rPr>
        <w:t>vücut ağırlığı(kg)x(140-yaş)</w:t>
      </w:r>
    </w:p>
    <w:p w:rsidR="00C0016F" w:rsidRPr="00D176D9" w:rsidRDefault="00C0016F" w:rsidP="00C0016F">
      <w:pPr>
        <w:spacing w:line="360" w:lineRule="auto"/>
        <w:ind w:right="-662"/>
        <w:jc w:val="both"/>
        <w:outlineLvl w:val="0"/>
        <w:rPr>
          <w:lang w:val="tr-TR"/>
        </w:rPr>
      </w:pPr>
      <w:r w:rsidRPr="00D176D9">
        <w:rPr>
          <w:b/>
          <w:lang w:val="tr-TR"/>
        </w:rPr>
        <w:t xml:space="preserve">                             </w:t>
      </w:r>
      <w:r w:rsidRPr="00D176D9">
        <w:rPr>
          <w:lang w:val="tr-TR"/>
        </w:rPr>
        <w:t>72 x serum kreatinin (mg/dl)</w:t>
      </w:r>
    </w:p>
    <w:p w:rsidR="00C0016F" w:rsidRPr="00D176D9" w:rsidRDefault="00C0016F" w:rsidP="00C0016F">
      <w:pPr>
        <w:spacing w:line="360" w:lineRule="auto"/>
        <w:ind w:right="-662"/>
        <w:jc w:val="both"/>
        <w:outlineLvl w:val="0"/>
        <w:rPr>
          <w:lang w:val="tr-TR"/>
        </w:rPr>
      </w:pPr>
      <w:r w:rsidRPr="00D176D9">
        <w:rPr>
          <w:lang w:val="tr-TR"/>
        </w:rPr>
        <w:t>Kadın hastalarda yukarıdaki formule göre bulunan değer 0.85 ile çarpılmalıdır.</w:t>
      </w:r>
    </w:p>
    <w:p w:rsidR="00C0016F" w:rsidRPr="00D176D9" w:rsidRDefault="00C0016F" w:rsidP="00C0016F">
      <w:pPr>
        <w:autoSpaceDE w:val="0"/>
        <w:autoSpaceDN w:val="0"/>
        <w:adjustRightInd w:val="0"/>
        <w:spacing w:line="360" w:lineRule="auto"/>
        <w:jc w:val="both"/>
        <w:rPr>
          <w:iCs/>
        </w:rPr>
      </w:pPr>
      <w:r w:rsidRPr="00D176D9">
        <w:rPr>
          <w:iCs/>
        </w:rPr>
        <w:t>Karaciğer yetmezliği ile ilgili herhangi bir bilgi mevcut değildir.</w:t>
      </w:r>
    </w:p>
    <w:p w:rsidR="00C0016F" w:rsidRPr="00D176D9" w:rsidRDefault="00C0016F" w:rsidP="00C0016F">
      <w:pPr>
        <w:autoSpaceDE w:val="0"/>
        <w:autoSpaceDN w:val="0"/>
        <w:adjustRightInd w:val="0"/>
        <w:spacing w:line="360" w:lineRule="auto"/>
        <w:jc w:val="both"/>
        <w:rPr>
          <w:iCs/>
        </w:rPr>
      </w:pPr>
    </w:p>
    <w:p w:rsidR="00C0016F" w:rsidRPr="00D176D9" w:rsidRDefault="00C0016F" w:rsidP="00C0016F">
      <w:pPr>
        <w:autoSpaceDE w:val="0"/>
        <w:autoSpaceDN w:val="0"/>
        <w:adjustRightInd w:val="0"/>
        <w:spacing w:line="360" w:lineRule="auto"/>
        <w:jc w:val="both"/>
        <w:rPr>
          <w:b/>
          <w:iCs/>
        </w:rPr>
      </w:pPr>
      <w:r w:rsidRPr="00D176D9">
        <w:rPr>
          <w:b/>
          <w:iCs/>
        </w:rPr>
        <w:t>Pediyatrik popülasyon:</w:t>
      </w:r>
    </w:p>
    <w:p w:rsidR="00C0016F" w:rsidRPr="00D176D9" w:rsidRDefault="00C0016F" w:rsidP="00C0016F">
      <w:pPr>
        <w:spacing w:line="360" w:lineRule="auto"/>
        <w:ind w:right="-662"/>
        <w:jc w:val="both"/>
        <w:rPr>
          <w:lang w:val="tr-TR"/>
        </w:rPr>
      </w:pPr>
      <w:r w:rsidRPr="00D176D9">
        <w:rPr>
          <w:lang w:val="tr-TR"/>
        </w:rPr>
        <w:t xml:space="preserve">Günlük doz, vücut ağırlığının her kg’ı </w:t>
      </w:r>
      <w:proofErr w:type="gramStart"/>
      <w:r w:rsidRPr="00D176D9">
        <w:rPr>
          <w:lang w:val="tr-TR"/>
        </w:rPr>
        <w:t>için  50</w:t>
      </w:r>
      <w:proofErr w:type="gramEnd"/>
      <w:r w:rsidRPr="00D176D9">
        <w:rPr>
          <w:lang w:val="tr-TR"/>
        </w:rPr>
        <w:t xml:space="preserve">-100 mg’dır. Bu doz 3 veya 4 eşit kısma bölünerek eşit aralıklarla uygulanır. </w:t>
      </w:r>
    </w:p>
    <w:p w:rsidR="00C0016F" w:rsidRPr="00D176D9" w:rsidRDefault="00C0016F" w:rsidP="00C0016F">
      <w:pPr>
        <w:spacing w:line="360" w:lineRule="auto"/>
        <w:ind w:right="-662"/>
        <w:jc w:val="both"/>
        <w:rPr>
          <w:lang w:val="tr-TR"/>
        </w:rPr>
      </w:pPr>
      <w:r w:rsidRPr="00D176D9">
        <w:rPr>
          <w:lang w:val="tr-TR"/>
        </w:rPr>
        <w:t xml:space="preserve">Ciddi </w:t>
      </w:r>
      <w:proofErr w:type="gramStart"/>
      <w:r w:rsidRPr="00D176D9">
        <w:rPr>
          <w:lang w:val="tr-TR"/>
        </w:rPr>
        <w:t>ve  ağır</w:t>
      </w:r>
      <w:proofErr w:type="gramEnd"/>
      <w:r w:rsidRPr="00D176D9">
        <w:rPr>
          <w:lang w:val="tr-TR"/>
        </w:rPr>
        <w:t xml:space="preserve"> seyreden infeksiyonların tedavisinde 100 mg/kg/gün  gibi daha yüksek dozlar (erişkin dozunu geçmeyecek şekilde) kullanılmalıdır. </w:t>
      </w:r>
      <w:proofErr w:type="gramStart"/>
      <w:r w:rsidRPr="00D176D9">
        <w:rPr>
          <w:lang w:val="tr-TR"/>
        </w:rPr>
        <w:t>Kemik  ve</w:t>
      </w:r>
      <w:proofErr w:type="gramEnd"/>
      <w:r w:rsidRPr="00D176D9">
        <w:rPr>
          <w:lang w:val="tr-TR"/>
        </w:rPr>
        <w:t xml:space="preserve"> eklem infeksiyonlarında üç eşit doza bölünerek 8 saat ara ile uygulanmak üzere 150 mg/kg/gün sefuroksim önerilmektedir ve bu doz erişkinler için önerilen maksimum  dozu geçmemelidir.</w:t>
      </w:r>
    </w:p>
    <w:p w:rsidR="00C0016F" w:rsidRPr="00D176D9" w:rsidRDefault="00C0016F" w:rsidP="00C0016F">
      <w:pPr>
        <w:spacing w:line="360" w:lineRule="auto"/>
        <w:ind w:right="-662"/>
        <w:jc w:val="both"/>
        <w:rPr>
          <w:lang w:val="tr-TR"/>
        </w:rPr>
      </w:pPr>
      <w:r w:rsidRPr="00D176D9">
        <w:rPr>
          <w:lang w:val="tr-TR"/>
        </w:rPr>
        <w:t>Böbrek yetmezliği olan pediyatrik hastalarda doz aralıkları erişkin hastadakilerine benzer şekilde değiştirilmelidir.</w:t>
      </w:r>
    </w:p>
    <w:p w:rsidR="00C0016F" w:rsidRPr="00D176D9" w:rsidRDefault="00C0016F" w:rsidP="00C0016F">
      <w:pPr>
        <w:autoSpaceDE w:val="0"/>
        <w:autoSpaceDN w:val="0"/>
        <w:adjustRightInd w:val="0"/>
        <w:spacing w:line="360" w:lineRule="auto"/>
        <w:jc w:val="both"/>
        <w:rPr>
          <w:b/>
          <w:iCs/>
        </w:rPr>
      </w:pPr>
    </w:p>
    <w:p w:rsidR="00C0016F" w:rsidRPr="00D176D9" w:rsidRDefault="00C0016F" w:rsidP="00C0016F">
      <w:pPr>
        <w:autoSpaceDE w:val="0"/>
        <w:autoSpaceDN w:val="0"/>
        <w:adjustRightInd w:val="0"/>
        <w:spacing w:line="360" w:lineRule="auto"/>
        <w:jc w:val="both"/>
        <w:rPr>
          <w:b/>
          <w:iCs/>
        </w:rPr>
      </w:pPr>
      <w:r w:rsidRPr="00D176D9">
        <w:rPr>
          <w:b/>
          <w:iCs/>
        </w:rPr>
        <w:t>Geriyatrik popülasyon:</w:t>
      </w:r>
    </w:p>
    <w:p w:rsidR="00C0016F" w:rsidRPr="00D176D9" w:rsidRDefault="00C0016F" w:rsidP="00C0016F">
      <w:pPr>
        <w:spacing w:line="360" w:lineRule="auto"/>
        <w:ind w:right="-662"/>
        <w:jc w:val="both"/>
        <w:rPr>
          <w:lang w:val="tr-TR"/>
        </w:rPr>
      </w:pPr>
      <w:r w:rsidRPr="00D176D9">
        <w:rPr>
          <w:lang w:val="tr-TR"/>
        </w:rPr>
        <w:t xml:space="preserve">Sefuroksim sodyumun atılımının böbrekler üzerinden olduğu bilindiğinden renal fonksiyon bozukluğu durumunda toksik reaksiyonların riski artmaktadır. Bu nedenle yaşlı hastalarda böbrek fonksiyonlarında azalma olabileceğinden doz seçiminde dikkatli olunmalı ve renal fonksiyonların takibi yapılmalıdır. </w:t>
      </w:r>
    </w:p>
    <w:p w:rsidR="00C0016F" w:rsidRPr="00D176D9" w:rsidRDefault="00C0016F" w:rsidP="00C0016F">
      <w:pPr>
        <w:autoSpaceDE w:val="0"/>
        <w:autoSpaceDN w:val="0"/>
        <w:adjustRightInd w:val="0"/>
        <w:spacing w:line="360" w:lineRule="auto"/>
        <w:jc w:val="both"/>
      </w:pPr>
    </w:p>
    <w:p w:rsidR="00C0016F" w:rsidRPr="00D176D9" w:rsidRDefault="00C0016F" w:rsidP="00C0016F">
      <w:pPr>
        <w:spacing w:line="360" w:lineRule="auto"/>
        <w:jc w:val="both"/>
        <w:rPr>
          <w:bCs/>
          <w:iCs/>
          <w:lang w:val="tr-TR"/>
        </w:rPr>
      </w:pPr>
      <w:r w:rsidRPr="00D176D9">
        <w:rPr>
          <w:b/>
          <w:bCs/>
          <w:lang w:val="tr-TR"/>
        </w:rPr>
        <w:t>4.3 Kontrendikasyonlar</w:t>
      </w:r>
    </w:p>
    <w:p w:rsidR="00C0016F" w:rsidRPr="00D176D9" w:rsidRDefault="00C0016F" w:rsidP="00C0016F">
      <w:pPr>
        <w:spacing w:line="360" w:lineRule="auto"/>
        <w:jc w:val="both"/>
        <w:rPr>
          <w:lang w:val="tr-TR"/>
        </w:rPr>
      </w:pPr>
      <w:r w:rsidRPr="00D176D9">
        <w:rPr>
          <w:lang w:val="tr-TR"/>
        </w:rPr>
        <w:t>Sefa</w:t>
      </w:r>
      <w:r w:rsidR="00F54729" w:rsidRPr="00D176D9">
        <w:rPr>
          <w:lang w:val="tr-TR"/>
        </w:rPr>
        <w:t xml:space="preserve">losporin grubu antibiyotiklere </w:t>
      </w:r>
      <w:r w:rsidRPr="00D176D9">
        <w:rPr>
          <w:lang w:val="tr-TR"/>
        </w:rPr>
        <w:t>veya ilacın içeriğindeki herhangi bir maddeye karşı hipersensitivitesi olanlarda kontrendikedir. Akut porfiride kontrendikedir.</w:t>
      </w:r>
    </w:p>
    <w:p w:rsidR="00C0016F" w:rsidRPr="00D176D9" w:rsidRDefault="00C0016F" w:rsidP="00C0016F">
      <w:pPr>
        <w:spacing w:line="360" w:lineRule="auto"/>
        <w:jc w:val="both"/>
      </w:pPr>
    </w:p>
    <w:p w:rsidR="00C0016F" w:rsidRPr="00D176D9" w:rsidRDefault="00C0016F" w:rsidP="00C0016F">
      <w:pPr>
        <w:spacing w:line="360" w:lineRule="auto"/>
        <w:jc w:val="both"/>
        <w:rPr>
          <w:b/>
          <w:bCs/>
          <w:iCs/>
          <w:lang w:val="tr-TR"/>
        </w:rPr>
      </w:pPr>
      <w:r w:rsidRPr="00D176D9">
        <w:rPr>
          <w:b/>
          <w:lang w:val="tr-TR"/>
        </w:rPr>
        <w:t xml:space="preserve">4.4 </w:t>
      </w:r>
      <w:r w:rsidRPr="00D176D9">
        <w:rPr>
          <w:b/>
          <w:bCs/>
          <w:lang w:val="tr-TR"/>
        </w:rPr>
        <w:t xml:space="preserve">Özel kullanım uyarıları ve önlemleri </w:t>
      </w:r>
    </w:p>
    <w:p w:rsidR="00C0016F" w:rsidRPr="00D176D9" w:rsidRDefault="00C0016F" w:rsidP="00C0016F">
      <w:pPr>
        <w:spacing w:line="360" w:lineRule="auto"/>
        <w:ind w:right="-662"/>
        <w:jc w:val="both"/>
        <w:rPr>
          <w:lang w:val="tr-TR"/>
        </w:rPr>
      </w:pPr>
      <w:r w:rsidRPr="00D176D9">
        <w:rPr>
          <w:lang w:val="tr-TR"/>
        </w:rPr>
        <w:t xml:space="preserve">Her ne kadar sefuroksim penisilinlere duyarlı olan bireylerde emniyetle kullanılabilmekteyse de, bazı sefalosporinler ve penisilinler arasında çapraz reaksiyonlar bildirilmektedir. Bu nedenle penisilinlere veya beta-laktamlara karşı anaflaktik reaksiyonlar göstermiş olan hastalarda özellikle dikkatli davranılmalıdır. Allerjik reaksiyonların ortaya çıkması halinde derhal ilaç kesilmelidir. Gerekirse uygun ajanlarla (presöraminler, antihistaminikler, kortikosteroidler gibi) hasta tedavi edilmelidir. </w:t>
      </w:r>
    </w:p>
    <w:p w:rsidR="00C0016F" w:rsidRPr="00D176D9" w:rsidRDefault="00C0016F" w:rsidP="00C0016F">
      <w:pPr>
        <w:spacing w:line="360" w:lineRule="auto"/>
        <w:ind w:right="-662"/>
        <w:jc w:val="both"/>
        <w:rPr>
          <w:lang w:val="tr-TR"/>
        </w:rPr>
      </w:pPr>
      <w:r w:rsidRPr="00D176D9">
        <w:rPr>
          <w:lang w:val="tr-TR"/>
        </w:rPr>
        <w:t xml:space="preserve">Uzun süreli tedaviler, antibiyotiğe hassas olmayan mikroorganizmaların (Ör: Candida, Enterokoklar, Clostridium difficile) aşırı üremesine neden olarak tedavinin kesilmesini gerektirebilir. Geniş spektrumlu antibiyotiklerin kullanımı ile psödomembranöz kolit meydana gelebilmektedir. Bu nedenle tedavi sırasında veya sonrasında ağır diyare görülmesi halinde ilacın kesilmesi ve uygun yöntemlerle tedavi edilmesi (oral vankomisin gibi) gerekebilir. </w:t>
      </w:r>
    </w:p>
    <w:p w:rsidR="00C0016F" w:rsidRPr="00D176D9" w:rsidRDefault="00C0016F" w:rsidP="00C0016F">
      <w:pPr>
        <w:spacing w:line="360" w:lineRule="auto"/>
        <w:ind w:right="-662"/>
        <w:jc w:val="both"/>
        <w:rPr>
          <w:lang w:val="tr-TR"/>
        </w:rPr>
      </w:pPr>
      <w:r w:rsidRPr="00D176D9">
        <w:rPr>
          <w:lang w:val="tr-TR"/>
        </w:rPr>
        <w:t xml:space="preserve">Aynı anda furosemid gibi güçlü diüretikleri veya aminoglikozidleri alan hastalar, yüksek dozda sefalosporin antibiyotikleri, bu </w:t>
      </w:r>
      <w:proofErr w:type="gramStart"/>
      <w:r w:rsidRPr="00D176D9">
        <w:rPr>
          <w:lang w:val="tr-TR"/>
        </w:rPr>
        <w:t>kombinasyonlarla</w:t>
      </w:r>
      <w:proofErr w:type="gramEnd"/>
      <w:r w:rsidRPr="00D176D9">
        <w:rPr>
          <w:lang w:val="tr-TR"/>
        </w:rPr>
        <w:t xml:space="preserve"> böbrek yetmezliği bildirildiğinden dikkatli verilmelidir. Bu hastalarda, yaşlılarda ve daha önceden böbrek yetmezliği olan hastalarda renal fonksiyon kontrol edilmelidir.</w:t>
      </w:r>
    </w:p>
    <w:p w:rsidR="00C0016F" w:rsidRPr="00D176D9" w:rsidRDefault="00C0016F" w:rsidP="00C0016F">
      <w:pPr>
        <w:spacing w:line="360" w:lineRule="auto"/>
        <w:ind w:right="-662"/>
        <w:jc w:val="both"/>
        <w:rPr>
          <w:lang w:val="tr-TR"/>
        </w:rPr>
      </w:pPr>
      <w:r w:rsidRPr="00D176D9">
        <w:rPr>
          <w:lang w:val="tr-TR"/>
        </w:rPr>
        <w:t xml:space="preserve">Menenjit tedavisinde kullanılan diğer rejimler gibi sefuroksim sodyum tedavisi sırasında az sayıdaki pediatrik hastada hafif ile orta derece arasında değişen işitme kaybı raporlanmıştır. Diğer antibiyotik tedavilerinde olduğu gibi 18 ve 36’ıncı </w:t>
      </w:r>
      <w:proofErr w:type="gramStart"/>
      <w:r w:rsidRPr="00D176D9">
        <w:rPr>
          <w:lang w:val="tr-TR"/>
        </w:rPr>
        <w:t>saatlerde  yapılan</w:t>
      </w:r>
      <w:proofErr w:type="gramEnd"/>
      <w:r w:rsidRPr="00D176D9">
        <w:rPr>
          <w:lang w:val="tr-TR"/>
        </w:rPr>
        <w:t xml:space="preserve"> serebrospinal sıvı kültürlerinin pozitif olmaya devam ettiği belirlenmiş olsa da bu durumun klinik ilişkisi bilinmemektedir.</w:t>
      </w:r>
    </w:p>
    <w:p w:rsidR="00C0016F" w:rsidRPr="00D176D9" w:rsidRDefault="00C0016F" w:rsidP="00C0016F">
      <w:pPr>
        <w:spacing w:line="360" w:lineRule="auto"/>
        <w:jc w:val="both"/>
        <w:rPr>
          <w:lang w:val="tr-TR"/>
        </w:rPr>
      </w:pPr>
      <w:r w:rsidRPr="00D176D9">
        <w:rPr>
          <w:lang w:val="tr-TR"/>
        </w:rPr>
        <w:t xml:space="preserve">Sefalosporin grubu antibiyotikler protrombin aktivitesinde düşmeye neden olabilmektedir. Bu nedenle karaciğer ve böbrek yetmezliği olan hastalarda ve daha önce antikoagulan tedavi ile </w:t>
      </w:r>
      <w:proofErr w:type="gramStart"/>
      <w:r w:rsidRPr="00D176D9">
        <w:rPr>
          <w:lang w:val="tr-TR"/>
        </w:rPr>
        <w:t>stabilize</w:t>
      </w:r>
      <w:proofErr w:type="gramEnd"/>
      <w:r w:rsidRPr="00D176D9">
        <w:rPr>
          <w:lang w:val="tr-TR"/>
        </w:rPr>
        <w:t xml:space="preserve"> olan hastalarda protrombin zamanı takip edilmelidir, gerektiğinde eksojen vitamin K uygulanmalıdır.</w:t>
      </w:r>
    </w:p>
    <w:p w:rsidR="00C0016F" w:rsidRPr="00D176D9" w:rsidRDefault="003E7D62" w:rsidP="00C0016F">
      <w:pPr>
        <w:spacing w:line="360" w:lineRule="auto"/>
        <w:jc w:val="both"/>
        <w:rPr>
          <w:bCs/>
          <w:lang w:val="tr-TR"/>
        </w:rPr>
      </w:pPr>
      <w:r w:rsidRPr="00D176D9">
        <w:rPr>
          <w:bCs/>
          <w:lang w:val="tr-TR"/>
        </w:rPr>
        <w:t xml:space="preserve">Bu tıbbi ürün her dozunda </w:t>
      </w:r>
      <w:proofErr w:type="gramStart"/>
      <w:r w:rsidR="00403358" w:rsidRPr="00D176D9">
        <w:rPr>
          <w:bCs/>
          <w:lang w:val="tr-TR"/>
        </w:rPr>
        <w:t>1.2</w:t>
      </w:r>
      <w:proofErr w:type="gramEnd"/>
      <w:r w:rsidR="00403358" w:rsidRPr="00D176D9">
        <w:rPr>
          <w:bCs/>
          <w:lang w:val="tr-TR"/>
        </w:rPr>
        <w:t xml:space="preserve"> mmol </w:t>
      </w:r>
      <w:r w:rsidR="00C0016F" w:rsidRPr="00D176D9">
        <w:rPr>
          <w:bCs/>
          <w:lang w:val="tr-TR"/>
        </w:rPr>
        <w:t>sodyum ihtiva eder. Bu durum, kontrollü sodyum diyetinde olan hastalar için göz önünde bulundurulmalıdır.</w:t>
      </w:r>
    </w:p>
    <w:p w:rsidR="003E7D62" w:rsidRPr="00D176D9" w:rsidRDefault="003E7D62" w:rsidP="00C0016F">
      <w:pPr>
        <w:spacing w:line="360" w:lineRule="auto"/>
        <w:jc w:val="both"/>
        <w:rPr>
          <w:bCs/>
          <w:lang w:val="tr-TR"/>
        </w:rPr>
      </w:pPr>
    </w:p>
    <w:p w:rsidR="00C0016F" w:rsidRPr="00D176D9" w:rsidRDefault="00C0016F" w:rsidP="00C0016F">
      <w:pPr>
        <w:spacing w:line="360" w:lineRule="auto"/>
        <w:jc w:val="both"/>
        <w:rPr>
          <w:lang w:val="tr-TR"/>
        </w:rPr>
      </w:pPr>
      <w:r w:rsidRPr="00D176D9">
        <w:rPr>
          <w:b/>
          <w:bCs/>
          <w:lang w:val="tr-TR"/>
        </w:rPr>
        <w:t xml:space="preserve">4.5 Diğer tıbbi ürünler ile etkileşimler ve diğer etkileşim şekilleri </w:t>
      </w:r>
    </w:p>
    <w:p w:rsidR="00C0016F" w:rsidRPr="00D176D9" w:rsidRDefault="00C0016F" w:rsidP="00C0016F">
      <w:pPr>
        <w:spacing w:line="360" w:lineRule="auto"/>
        <w:ind w:right="-662"/>
        <w:jc w:val="both"/>
        <w:rPr>
          <w:lang w:val="tr-TR"/>
        </w:rPr>
      </w:pPr>
      <w:r w:rsidRPr="00D176D9">
        <w:rPr>
          <w:lang w:val="tr-TR"/>
        </w:rPr>
        <w:t>Yüksek dozda probenesid ile birlikte verilmesi sefuroksimin itrahını geciktirir ve yüksek serum düzeyleri oluşturur.</w:t>
      </w:r>
    </w:p>
    <w:p w:rsidR="00C0016F" w:rsidRPr="00D176D9" w:rsidRDefault="00C0016F" w:rsidP="00C0016F">
      <w:pPr>
        <w:spacing w:line="360" w:lineRule="auto"/>
        <w:ind w:right="-662"/>
        <w:jc w:val="both"/>
        <w:rPr>
          <w:lang w:val="tr-TR"/>
        </w:rPr>
      </w:pPr>
      <w:r w:rsidRPr="00D176D9">
        <w:rPr>
          <w:lang w:val="tr-TR"/>
        </w:rPr>
        <w:t xml:space="preserve">Sefuroksimin aminoglikozidlerle </w:t>
      </w:r>
      <w:proofErr w:type="gramStart"/>
      <w:r w:rsidRPr="00D176D9">
        <w:rPr>
          <w:lang w:val="tr-TR"/>
        </w:rPr>
        <w:t>kombinasyonu</w:t>
      </w:r>
      <w:proofErr w:type="gramEnd"/>
      <w:r w:rsidRPr="00D176D9">
        <w:rPr>
          <w:lang w:val="tr-TR"/>
        </w:rPr>
        <w:t xml:space="preserve"> additif nefrotoksisiteye neden olabilmektedir.</w:t>
      </w:r>
    </w:p>
    <w:p w:rsidR="00C0016F" w:rsidRPr="00D176D9" w:rsidRDefault="00C0016F" w:rsidP="00C0016F">
      <w:pPr>
        <w:spacing w:line="360" w:lineRule="auto"/>
        <w:ind w:right="-662"/>
        <w:jc w:val="both"/>
        <w:rPr>
          <w:lang w:val="tr-TR"/>
        </w:rPr>
      </w:pPr>
      <w:r w:rsidRPr="00D176D9">
        <w:rPr>
          <w:lang w:val="tr-TR"/>
        </w:rPr>
        <w:t xml:space="preserve">Aynı anda furosemid gibi güçlü diüretikleri veya aminoglikozidleri alan hastalara, yüksek dozda sefalosporin antibiyotikleri, bu </w:t>
      </w:r>
      <w:proofErr w:type="gramStart"/>
      <w:r w:rsidRPr="00D176D9">
        <w:rPr>
          <w:lang w:val="tr-TR"/>
        </w:rPr>
        <w:t>kombinasyonlarla</w:t>
      </w:r>
      <w:proofErr w:type="gramEnd"/>
      <w:r w:rsidRPr="00D176D9">
        <w:rPr>
          <w:lang w:val="tr-TR"/>
        </w:rPr>
        <w:t xml:space="preserve"> böbrek yetmezliği bildirildiğinden dikkatli verilmelidir.</w:t>
      </w:r>
    </w:p>
    <w:p w:rsidR="00C0016F" w:rsidRPr="00D176D9" w:rsidRDefault="00C0016F" w:rsidP="00C0016F">
      <w:pPr>
        <w:spacing w:line="360" w:lineRule="auto"/>
        <w:ind w:right="-662"/>
        <w:jc w:val="both"/>
        <w:rPr>
          <w:lang w:val="tr-TR"/>
        </w:rPr>
      </w:pPr>
      <w:r w:rsidRPr="00D176D9">
        <w:rPr>
          <w:lang w:val="tr-TR"/>
        </w:rPr>
        <w:t xml:space="preserve">Sefuroksim ile tedavi edilen bazı hastalarda Coombs testi pozitif bulunmuştur. Bu durum kanın </w:t>
      </w:r>
      <w:r w:rsidRPr="00D176D9">
        <w:rPr>
          <w:i/>
          <w:lang w:val="tr-TR"/>
        </w:rPr>
        <w:t>cross matching</w:t>
      </w:r>
      <w:r w:rsidRPr="00D176D9">
        <w:rPr>
          <w:lang w:val="tr-TR"/>
        </w:rPr>
        <w:t>’ini değiştirebilir.</w:t>
      </w:r>
    </w:p>
    <w:p w:rsidR="00C0016F" w:rsidRPr="00D176D9" w:rsidRDefault="00C0016F" w:rsidP="00C0016F">
      <w:pPr>
        <w:spacing w:line="360" w:lineRule="auto"/>
        <w:ind w:right="-662"/>
        <w:jc w:val="both"/>
        <w:rPr>
          <w:lang w:val="tr-TR"/>
        </w:rPr>
      </w:pPr>
      <w:r w:rsidRPr="00D176D9">
        <w:rPr>
          <w:lang w:val="tr-TR"/>
        </w:rPr>
        <w:t xml:space="preserve">İdrarda glukoz tayini için bakırın indirgenmesine dayanan testler kullanıldığında (Benedict, Fehling solüsyonu, Clinitest), sefuroksim bu testleri bozabilmekte ve yalancı pozitif sonuçlar alınmasına yol açabilmektedir. Ancak enzimatik esasa dayanan testleri etkilememektedir. </w:t>
      </w:r>
    </w:p>
    <w:p w:rsidR="00C0016F" w:rsidRPr="00D176D9" w:rsidRDefault="00C0016F" w:rsidP="00C0016F">
      <w:pPr>
        <w:spacing w:line="360" w:lineRule="auto"/>
        <w:ind w:right="-662"/>
        <w:jc w:val="both"/>
        <w:rPr>
          <w:lang w:val="tr-TR"/>
        </w:rPr>
      </w:pPr>
      <w:r w:rsidRPr="00D176D9">
        <w:rPr>
          <w:lang w:val="tr-TR"/>
        </w:rPr>
        <w:t>Kan şekeri tayininde kullanılan ferrisiyanid testinden de yalancı negatif sonuçlar alınmasına neden olabilmektedir. Sefuroksim kullanan hastaların kan/plazma glukoz seviyelerinin glukoz oksidaz veya heksokinaz metotları ile tayini tavsiye edilir.</w:t>
      </w:r>
    </w:p>
    <w:p w:rsidR="00C0016F" w:rsidRPr="00D176D9" w:rsidRDefault="00C0016F" w:rsidP="00C0016F">
      <w:pPr>
        <w:spacing w:line="360" w:lineRule="auto"/>
        <w:ind w:right="-662"/>
        <w:jc w:val="both"/>
        <w:rPr>
          <w:lang w:val="tr-TR"/>
        </w:rPr>
      </w:pPr>
      <w:r w:rsidRPr="00D176D9">
        <w:rPr>
          <w:lang w:val="tr-TR"/>
        </w:rPr>
        <w:t>Alkalin pikrat ile yapılan kreatinin miktar tayinini etkilemez.</w:t>
      </w:r>
    </w:p>
    <w:p w:rsidR="00C0016F" w:rsidRPr="00D176D9" w:rsidRDefault="00C0016F" w:rsidP="00C0016F">
      <w:pPr>
        <w:spacing w:line="360" w:lineRule="auto"/>
        <w:jc w:val="both"/>
        <w:rPr>
          <w:b/>
          <w:bCs/>
          <w:lang w:val="tr-TR"/>
        </w:rPr>
      </w:pPr>
      <w:r w:rsidRPr="00D176D9">
        <w:rPr>
          <w:b/>
          <w:bCs/>
          <w:lang w:val="tr-TR"/>
        </w:rPr>
        <w:t xml:space="preserve">Özel </w:t>
      </w:r>
      <w:proofErr w:type="gramStart"/>
      <w:r w:rsidRPr="00D176D9">
        <w:rPr>
          <w:b/>
          <w:bCs/>
          <w:lang w:val="tr-TR"/>
        </w:rPr>
        <w:t>popülasyonlara</w:t>
      </w:r>
      <w:proofErr w:type="gramEnd"/>
      <w:r w:rsidRPr="00D176D9">
        <w:rPr>
          <w:b/>
          <w:bCs/>
          <w:lang w:val="tr-TR"/>
        </w:rPr>
        <w:t xml:space="preserve"> ilişkin ek bilgiler:</w:t>
      </w:r>
    </w:p>
    <w:p w:rsidR="00C0016F" w:rsidRPr="00D176D9" w:rsidRDefault="00C0016F" w:rsidP="00C0016F">
      <w:pPr>
        <w:spacing w:line="360" w:lineRule="auto"/>
        <w:rPr>
          <w:b/>
          <w:lang w:val="tr-TR"/>
        </w:rPr>
      </w:pPr>
      <w:r w:rsidRPr="00D176D9">
        <w:rPr>
          <w:b/>
          <w:lang w:val="tr-TR"/>
        </w:rPr>
        <w:t xml:space="preserve">Pediyatrik </w:t>
      </w:r>
      <w:proofErr w:type="gramStart"/>
      <w:r w:rsidRPr="00D176D9">
        <w:rPr>
          <w:b/>
          <w:lang w:val="tr-TR"/>
        </w:rPr>
        <w:t>popülasyon</w:t>
      </w:r>
      <w:proofErr w:type="gramEnd"/>
      <w:r w:rsidRPr="00D176D9">
        <w:rPr>
          <w:b/>
          <w:lang w:val="tr-TR"/>
        </w:rPr>
        <w:t>:</w:t>
      </w:r>
    </w:p>
    <w:p w:rsidR="00C0016F" w:rsidRPr="00D176D9" w:rsidRDefault="00C0016F" w:rsidP="00C0016F">
      <w:pPr>
        <w:spacing w:line="360" w:lineRule="auto"/>
        <w:rPr>
          <w:lang w:val="tr-TR"/>
        </w:rPr>
      </w:pPr>
      <w:r w:rsidRPr="00D176D9">
        <w:rPr>
          <w:lang w:val="tr-TR"/>
        </w:rPr>
        <w:t>3 aylıktan daha küçük bebeklerde etkinliği ve güvenilirliği saptanmamıştır.</w:t>
      </w:r>
    </w:p>
    <w:p w:rsidR="00542BDC" w:rsidRPr="00D176D9" w:rsidRDefault="00542BDC" w:rsidP="00C0016F">
      <w:pPr>
        <w:spacing w:line="360" w:lineRule="auto"/>
        <w:rPr>
          <w:lang w:val="tr-TR"/>
        </w:rPr>
      </w:pPr>
    </w:p>
    <w:p w:rsidR="00542BDC" w:rsidRPr="00D176D9" w:rsidRDefault="00542BDC" w:rsidP="00C0016F">
      <w:pPr>
        <w:spacing w:line="360" w:lineRule="auto"/>
        <w:rPr>
          <w:lang w:val="tr-TR"/>
        </w:rPr>
      </w:pPr>
    </w:p>
    <w:p w:rsidR="00C0016F" w:rsidRPr="00D176D9" w:rsidRDefault="00C0016F" w:rsidP="00C0016F">
      <w:pPr>
        <w:spacing w:line="360" w:lineRule="auto"/>
        <w:rPr>
          <w:b/>
          <w:lang w:val="tr-TR"/>
        </w:rPr>
      </w:pPr>
      <w:r w:rsidRPr="00D176D9">
        <w:rPr>
          <w:b/>
          <w:lang w:val="tr-TR"/>
        </w:rPr>
        <w:t xml:space="preserve">Geriyatrik </w:t>
      </w:r>
      <w:proofErr w:type="gramStart"/>
      <w:r w:rsidRPr="00D176D9">
        <w:rPr>
          <w:b/>
          <w:lang w:val="tr-TR"/>
        </w:rPr>
        <w:t>popülasyon</w:t>
      </w:r>
      <w:proofErr w:type="gramEnd"/>
      <w:r w:rsidRPr="00D176D9">
        <w:rPr>
          <w:b/>
          <w:lang w:val="tr-TR"/>
        </w:rPr>
        <w:t>:</w:t>
      </w:r>
    </w:p>
    <w:p w:rsidR="00C0016F" w:rsidRPr="00D176D9" w:rsidRDefault="00C0016F" w:rsidP="00C0016F">
      <w:pPr>
        <w:spacing w:line="360" w:lineRule="auto"/>
        <w:rPr>
          <w:lang w:val="tr-TR"/>
        </w:rPr>
      </w:pPr>
      <w:r w:rsidRPr="00D176D9">
        <w:rPr>
          <w:lang w:val="tr-TR"/>
        </w:rPr>
        <w:t xml:space="preserve">Genelde yaşlılar ve genç hastalar arasında sefuroksimin etkinliği ve güvenilirliği bakımından fark bildirilmemiştir. Ancak bazı yaşlı hastaların ilaç etkilerine duyarlı oldukları göz ardı </w:t>
      </w:r>
      <w:proofErr w:type="gramStart"/>
      <w:r w:rsidRPr="00D176D9">
        <w:rPr>
          <w:lang w:val="tr-TR"/>
        </w:rPr>
        <w:t>edilmemelidir.Ayrıca</w:t>
      </w:r>
      <w:proofErr w:type="gramEnd"/>
      <w:r w:rsidRPr="00D176D9">
        <w:rPr>
          <w:lang w:val="tr-TR"/>
        </w:rPr>
        <w:t xml:space="preserve"> yaşlı hastalarda böbrek  fonksiyonunun azalmış olma ihtimali göz önünde bulundurulmalı ve doz dikkatle seçilmelidir.</w:t>
      </w:r>
    </w:p>
    <w:p w:rsidR="00C0016F" w:rsidRPr="00D176D9" w:rsidRDefault="00C0016F" w:rsidP="00C0016F">
      <w:pPr>
        <w:spacing w:line="360" w:lineRule="auto"/>
        <w:jc w:val="both"/>
        <w:rPr>
          <w:b/>
          <w:bCs/>
          <w:lang w:val="tr-TR"/>
        </w:rPr>
      </w:pPr>
    </w:p>
    <w:p w:rsidR="00C0016F" w:rsidRPr="00D176D9" w:rsidRDefault="00C0016F" w:rsidP="00C0016F">
      <w:pPr>
        <w:spacing w:line="360" w:lineRule="auto"/>
        <w:jc w:val="both"/>
        <w:rPr>
          <w:b/>
          <w:bCs/>
          <w:lang w:val="tr-TR"/>
        </w:rPr>
      </w:pPr>
      <w:r w:rsidRPr="00D176D9">
        <w:rPr>
          <w:b/>
          <w:bCs/>
          <w:lang w:val="tr-TR"/>
        </w:rPr>
        <w:t xml:space="preserve">4.6 Gebelik ve laktasyon </w:t>
      </w:r>
    </w:p>
    <w:p w:rsidR="00C0016F" w:rsidRPr="00D176D9" w:rsidRDefault="00C0016F" w:rsidP="00C0016F">
      <w:pPr>
        <w:tabs>
          <w:tab w:val="num" w:pos="0"/>
          <w:tab w:val="center" w:pos="260"/>
          <w:tab w:val="left" w:pos="390"/>
        </w:tabs>
        <w:spacing w:line="360" w:lineRule="auto"/>
        <w:jc w:val="both"/>
        <w:rPr>
          <w:b/>
          <w:lang w:val="tr-TR"/>
        </w:rPr>
      </w:pPr>
      <w:r w:rsidRPr="00D176D9">
        <w:rPr>
          <w:b/>
          <w:lang w:val="tr-TR"/>
        </w:rPr>
        <w:t>Genel tavsiye</w:t>
      </w:r>
    </w:p>
    <w:p w:rsidR="00C0016F" w:rsidRPr="00D176D9" w:rsidRDefault="00C0016F" w:rsidP="00C0016F">
      <w:pPr>
        <w:tabs>
          <w:tab w:val="num" w:pos="0"/>
          <w:tab w:val="center" w:pos="260"/>
          <w:tab w:val="left" w:pos="390"/>
        </w:tabs>
        <w:spacing w:line="360" w:lineRule="auto"/>
        <w:jc w:val="both"/>
        <w:rPr>
          <w:lang w:val="tr-TR"/>
        </w:rPr>
      </w:pPr>
      <w:r w:rsidRPr="00D176D9">
        <w:rPr>
          <w:lang w:val="tr-TR"/>
        </w:rPr>
        <w:t>Gebelik kategori B’ dir.</w:t>
      </w:r>
    </w:p>
    <w:p w:rsidR="00C0016F" w:rsidRPr="00D176D9" w:rsidRDefault="00C0016F" w:rsidP="00C0016F">
      <w:pPr>
        <w:autoSpaceDE w:val="0"/>
        <w:autoSpaceDN w:val="0"/>
        <w:adjustRightInd w:val="0"/>
        <w:spacing w:line="360" w:lineRule="auto"/>
        <w:rPr>
          <w:b/>
          <w:lang w:val="tr-TR"/>
        </w:rPr>
      </w:pPr>
      <w:r w:rsidRPr="00D176D9">
        <w:rPr>
          <w:b/>
          <w:lang w:val="tr-TR"/>
        </w:rPr>
        <w:t>Çocuk doğurma potansiyeli bulunan kadınlar/Doğum kontrolü (Kontrasepsiyon)</w:t>
      </w:r>
    </w:p>
    <w:p w:rsidR="00C0016F" w:rsidRPr="00D176D9" w:rsidRDefault="00C0016F" w:rsidP="00C0016F">
      <w:pPr>
        <w:spacing w:line="360" w:lineRule="auto"/>
        <w:jc w:val="both"/>
        <w:rPr>
          <w:lang w:val="tr-TR"/>
        </w:rPr>
      </w:pPr>
      <w:r w:rsidRPr="00D176D9">
        <w:rPr>
          <w:lang w:val="tr-TR"/>
        </w:rPr>
        <w:t>Sefuroksim aksetil için gebeliklerde maruz kalmaya ilişkin veri mevcut değildir. Hayvanlar üzerinde yapılan çalışmalar, gebelik / embriyonal / fetal gelişim / doğum ya da doğum sonrası gelişim ile ilgili olarak doğrudan ya da dolaylı zararlı etkiler olduğunu göstermemektedir.</w:t>
      </w:r>
    </w:p>
    <w:p w:rsidR="00C0016F" w:rsidRPr="00D176D9" w:rsidRDefault="00C0016F" w:rsidP="00C0016F">
      <w:pPr>
        <w:spacing w:line="360" w:lineRule="auto"/>
        <w:jc w:val="both"/>
        <w:rPr>
          <w:b/>
          <w:lang w:val="tr-TR"/>
        </w:rPr>
      </w:pPr>
    </w:p>
    <w:p w:rsidR="00C0016F" w:rsidRPr="00D176D9" w:rsidRDefault="00C0016F" w:rsidP="00C0016F">
      <w:pPr>
        <w:spacing w:line="360" w:lineRule="auto"/>
        <w:jc w:val="both"/>
        <w:rPr>
          <w:b/>
          <w:lang w:val="tr-TR"/>
        </w:rPr>
      </w:pPr>
      <w:r w:rsidRPr="00D176D9">
        <w:rPr>
          <w:b/>
          <w:lang w:val="tr-TR"/>
        </w:rPr>
        <w:t>Gebelik dönemi:</w:t>
      </w:r>
    </w:p>
    <w:p w:rsidR="00C0016F" w:rsidRPr="00D176D9" w:rsidRDefault="00C0016F" w:rsidP="00C0016F">
      <w:pPr>
        <w:spacing w:line="360" w:lineRule="auto"/>
        <w:jc w:val="both"/>
        <w:rPr>
          <w:lang w:val="tr-TR"/>
        </w:rPr>
      </w:pPr>
      <w:r w:rsidRPr="00D176D9">
        <w:rPr>
          <w:lang w:val="tr-TR"/>
        </w:rPr>
        <w:t>Embriyopatik veya teratojenik etkisi görülmemiştir ancak diğer bütün ilaçlar gibi hamileliğin ilk aylarında dikkatle ve doktor kontrolü altında kullanılmalıdır.</w:t>
      </w:r>
    </w:p>
    <w:p w:rsidR="00C0016F" w:rsidRPr="00D176D9" w:rsidRDefault="00C0016F" w:rsidP="00C0016F">
      <w:pPr>
        <w:spacing w:line="360" w:lineRule="auto"/>
        <w:jc w:val="both"/>
        <w:rPr>
          <w:lang w:val="tr-TR"/>
        </w:rPr>
      </w:pPr>
      <w:r w:rsidRPr="00D176D9">
        <w:rPr>
          <w:lang w:val="tr-TR"/>
        </w:rPr>
        <w:t>Gebe kadınlara verilirken dikkatli kullanılmalıdır.</w:t>
      </w:r>
    </w:p>
    <w:p w:rsidR="00C0016F" w:rsidRPr="00D176D9" w:rsidRDefault="00C0016F" w:rsidP="00C0016F">
      <w:pPr>
        <w:spacing w:line="360" w:lineRule="auto"/>
        <w:jc w:val="both"/>
        <w:rPr>
          <w:b/>
          <w:lang w:val="tr-TR"/>
        </w:rPr>
      </w:pPr>
    </w:p>
    <w:p w:rsidR="00C0016F" w:rsidRPr="00D176D9" w:rsidRDefault="00C0016F" w:rsidP="00C0016F">
      <w:pPr>
        <w:spacing w:line="360" w:lineRule="auto"/>
        <w:jc w:val="both"/>
        <w:rPr>
          <w:b/>
          <w:lang w:val="tr-TR"/>
        </w:rPr>
      </w:pPr>
      <w:r w:rsidRPr="00D176D9">
        <w:rPr>
          <w:b/>
          <w:lang w:val="tr-TR"/>
        </w:rPr>
        <w:t>Laktasyon dönemi:</w:t>
      </w:r>
    </w:p>
    <w:p w:rsidR="00C0016F" w:rsidRPr="00D176D9" w:rsidRDefault="00C0016F" w:rsidP="00C0016F">
      <w:pPr>
        <w:spacing w:line="360" w:lineRule="auto"/>
        <w:jc w:val="both"/>
        <w:rPr>
          <w:lang w:val="tr-TR"/>
        </w:rPr>
      </w:pPr>
      <w:r w:rsidRPr="00D176D9">
        <w:rPr>
          <w:lang w:val="tr-TR"/>
        </w:rPr>
        <w:t>Sefuroksim aksetil anne sütü ile atılmaktadır. Emziren annelerde dikkatli kullanılmalıdır.</w:t>
      </w:r>
    </w:p>
    <w:p w:rsidR="00C0016F" w:rsidRPr="00D176D9" w:rsidRDefault="00C0016F" w:rsidP="00C0016F">
      <w:pPr>
        <w:tabs>
          <w:tab w:val="num" w:pos="0"/>
          <w:tab w:val="center" w:pos="260"/>
          <w:tab w:val="left" w:pos="390"/>
        </w:tabs>
        <w:spacing w:line="360" w:lineRule="auto"/>
        <w:jc w:val="both"/>
        <w:rPr>
          <w:b/>
          <w:lang w:val="tr-TR"/>
        </w:rPr>
      </w:pPr>
    </w:p>
    <w:p w:rsidR="00C0016F" w:rsidRPr="00D176D9" w:rsidRDefault="00C0016F" w:rsidP="00C0016F">
      <w:pPr>
        <w:tabs>
          <w:tab w:val="num" w:pos="0"/>
          <w:tab w:val="center" w:pos="260"/>
          <w:tab w:val="left" w:pos="390"/>
        </w:tabs>
        <w:spacing w:line="360" w:lineRule="auto"/>
        <w:jc w:val="both"/>
        <w:rPr>
          <w:b/>
          <w:lang w:val="tr-TR"/>
        </w:rPr>
      </w:pPr>
      <w:r w:rsidRPr="00D176D9">
        <w:rPr>
          <w:b/>
          <w:lang w:val="tr-TR"/>
        </w:rPr>
        <w:t>Üreme yeteneği/fertilite:</w:t>
      </w:r>
    </w:p>
    <w:p w:rsidR="00C0016F" w:rsidRPr="00D176D9" w:rsidRDefault="00C0016F" w:rsidP="00C0016F">
      <w:pPr>
        <w:spacing w:line="360" w:lineRule="auto"/>
        <w:jc w:val="both"/>
        <w:rPr>
          <w:bCs/>
          <w:lang w:val="tr-TR"/>
        </w:rPr>
      </w:pPr>
      <w:r w:rsidRPr="00D176D9">
        <w:rPr>
          <w:bCs/>
          <w:lang w:val="tr-TR"/>
        </w:rPr>
        <w:t>Sıçanlarda yapılan üreme çalışmalarında günde 1000 mg/kg’a kadar verilmesi ile (mg/m</w:t>
      </w:r>
      <w:r w:rsidRPr="00D176D9">
        <w:rPr>
          <w:bCs/>
          <w:vertAlign w:val="superscript"/>
          <w:lang w:val="tr-TR"/>
        </w:rPr>
        <w:t>2</w:t>
      </w:r>
      <w:r w:rsidRPr="00D176D9">
        <w:rPr>
          <w:bCs/>
          <w:lang w:val="tr-TR"/>
        </w:rPr>
        <w:t xml:space="preserve"> olarak vücut yüzey alanına göre, insanlar </w:t>
      </w:r>
      <w:proofErr w:type="gramStart"/>
      <w:r w:rsidRPr="00D176D9">
        <w:rPr>
          <w:bCs/>
          <w:lang w:val="tr-TR"/>
        </w:rPr>
        <w:t>için  önerilen</w:t>
      </w:r>
      <w:proofErr w:type="gramEnd"/>
      <w:r w:rsidRPr="00D176D9">
        <w:rPr>
          <w:bCs/>
          <w:lang w:val="tr-TR"/>
        </w:rPr>
        <w:t xml:space="preserve"> maksimum dozun 9 katı) üreme yeteneğini etkilediğine dair bir bulguya rastlanmamıştır. </w:t>
      </w:r>
    </w:p>
    <w:p w:rsidR="00C0016F" w:rsidRPr="00D176D9" w:rsidRDefault="00C0016F" w:rsidP="00C0016F">
      <w:pPr>
        <w:spacing w:line="360" w:lineRule="auto"/>
        <w:jc w:val="both"/>
        <w:rPr>
          <w:lang w:val="tr-TR"/>
        </w:rPr>
      </w:pPr>
    </w:p>
    <w:p w:rsidR="00C0016F" w:rsidRPr="00D176D9" w:rsidRDefault="00C0016F" w:rsidP="00C0016F">
      <w:pPr>
        <w:spacing w:line="360" w:lineRule="auto"/>
        <w:jc w:val="both"/>
        <w:rPr>
          <w:lang w:val="tr-TR"/>
        </w:rPr>
      </w:pPr>
      <w:r w:rsidRPr="00D176D9">
        <w:rPr>
          <w:b/>
          <w:bCs/>
          <w:lang w:val="tr-TR"/>
        </w:rPr>
        <w:t>4.7 Araç ve makine kullanımı üzerindeki etkiler</w:t>
      </w:r>
    </w:p>
    <w:p w:rsidR="00C0016F" w:rsidRPr="00D176D9" w:rsidRDefault="00C0016F" w:rsidP="00C0016F">
      <w:pPr>
        <w:spacing w:line="360" w:lineRule="auto"/>
        <w:rPr>
          <w:lang w:val="tr-TR"/>
        </w:rPr>
      </w:pPr>
      <w:r w:rsidRPr="00D176D9">
        <w:rPr>
          <w:lang w:val="tr-TR"/>
        </w:rPr>
        <w:t>Araç ve makine kullanımını etkilediğine dair bir veri mevcut değildir.</w:t>
      </w:r>
    </w:p>
    <w:p w:rsidR="00C0016F" w:rsidRPr="00D176D9" w:rsidRDefault="00C0016F" w:rsidP="00C0016F">
      <w:pPr>
        <w:spacing w:line="360" w:lineRule="auto"/>
        <w:jc w:val="both"/>
        <w:rPr>
          <w:b/>
          <w:bCs/>
          <w:lang w:val="tr-TR"/>
        </w:rPr>
      </w:pPr>
    </w:p>
    <w:p w:rsidR="00C0016F" w:rsidRPr="00D176D9" w:rsidRDefault="00C0016F" w:rsidP="00C0016F">
      <w:pPr>
        <w:spacing w:line="360" w:lineRule="auto"/>
        <w:jc w:val="both"/>
        <w:rPr>
          <w:lang w:val="tr-TR"/>
        </w:rPr>
      </w:pPr>
      <w:r w:rsidRPr="00D176D9">
        <w:rPr>
          <w:b/>
          <w:bCs/>
          <w:lang w:val="tr-TR"/>
        </w:rPr>
        <w:t>4.8 İstenmeyen etkiler</w:t>
      </w:r>
    </w:p>
    <w:p w:rsidR="00C0016F" w:rsidRPr="00D176D9" w:rsidRDefault="00C0016F" w:rsidP="00F54729">
      <w:pPr>
        <w:spacing w:line="360" w:lineRule="auto"/>
        <w:jc w:val="both"/>
        <w:rPr>
          <w:bCs/>
          <w:lang w:val="tr-TR"/>
        </w:rPr>
      </w:pPr>
      <w:r w:rsidRPr="00D176D9">
        <w:rPr>
          <w:bCs/>
          <w:lang w:val="tr-TR"/>
        </w:rPr>
        <w:t>Enjektabl olarak verilen sefuroksime ait yan etkiler oldukça seyrektir ve genellikle hafif ve geçici</w:t>
      </w:r>
      <w:r w:rsidR="00F54729" w:rsidRPr="00D176D9">
        <w:rPr>
          <w:bCs/>
          <w:lang w:val="tr-TR"/>
        </w:rPr>
        <w:t xml:space="preserve"> </w:t>
      </w:r>
      <w:r w:rsidRPr="00D176D9">
        <w:rPr>
          <w:bCs/>
          <w:lang w:val="tr-TR"/>
        </w:rPr>
        <w:t>özelliktedir.</w:t>
      </w:r>
    </w:p>
    <w:p w:rsidR="00C0016F" w:rsidRPr="00D176D9" w:rsidRDefault="00C0016F" w:rsidP="00F54729">
      <w:pPr>
        <w:spacing w:line="360" w:lineRule="auto"/>
        <w:jc w:val="both"/>
        <w:rPr>
          <w:bCs/>
          <w:lang w:val="tr-TR"/>
        </w:rPr>
      </w:pPr>
      <w:r w:rsidRPr="00D176D9">
        <w:rPr>
          <w:bCs/>
          <w:lang w:val="tr-TR"/>
        </w:rPr>
        <w:t>Diğer antibiyotiklerde olduğu gibi, CEFAKS’ ın uzun süreli kullanımı duyarlı olmayan organizmaların üremesine neden olabilir (örneğin Candida, Enterekok, Clostridium difficile).</w:t>
      </w:r>
    </w:p>
    <w:p w:rsidR="00697055" w:rsidRPr="00D176D9" w:rsidRDefault="00697055" w:rsidP="00F54729">
      <w:pPr>
        <w:spacing w:line="360" w:lineRule="auto"/>
        <w:jc w:val="both"/>
        <w:rPr>
          <w:bCs/>
          <w:lang w:val="tr-TR"/>
        </w:rPr>
      </w:pPr>
      <w:r w:rsidRPr="00D176D9">
        <w:rPr>
          <w:bCs/>
          <w:lang w:val="tr-TR"/>
        </w:rPr>
        <w:t>Klinik çalışmalarda rapor edilen istenmeyen etkilerin sıklık sıralaması aşağıdaki gibidir:</w:t>
      </w:r>
    </w:p>
    <w:p w:rsidR="00C0016F" w:rsidRPr="00D176D9" w:rsidRDefault="00C0016F" w:rsidP="00F54729">
      <w:pPr>
        <w:spacing w:line="360" w:lineRule="auto"/>
        <w:jc w:val="both"/>
        <w:rPr>
          <w:bCs/>
          <w:lang w:val="tr-TR"/>
        </w:rPr>
      </w:pPr>
      <w:r w:rsidRPr="00D176D9">
        <w:rPr>
          <w:bCs/>
          <w:lang w:val="tr-TR"/>
        </w:rPr>
        <w:t>Çok Yaygın (≥1/10); Yaygın (≥1/100 ila &lt;1/10); Yaygın Olmayan (≥1/1000 ila &lt;1/100); Seyrek (≥1/10000 ila &lt;1/1000); Çok Seyrek (&lt;1/10000), bilinmiyor (eldeki verilerden hareketle tahmin edilemiyor).</w:t>
      </w:r>
    </w:p>
    <w:p w:rsidR="00C0016F" w:rsidRPr="00D176D9" w:rsidRDefault="00C0016F" w:rsidP="00C0016F">
      <w:pPr>
        <w:autoSpaceDE w:val="0"/>
        <w:autoSpaceDN w:val="0"/>
        <w:adjustRightInd w:val="0"/>
        <w:jc w:val="both"/>
        <w:rPr>
          <w:bCs/>
          <w:lang w:val="tr-TR"/>
        </w:rPr>
      </w:pPr>
    </w:p>
    <w:p w:rsidR="00C0016F" w:rsidRPr="00D176D9" w:rsidRDefault="00C0016F" w:rsidP="00C0016F">
      <w:pPr>
        <w:spacing w:line="360" w:lineRule="auto"/>
        <w:ind w:right="-662"/>
        <w:rPr>
          <w:b/>
          <w:lang w:val="tr-TR"/>
        </w:rPr>
      </w:pPr>
      <w:r w:rsidRPr="00D176D9">
        <w:rPr>
          <w:b/>
          <w:lang w:val="tr-TR"/>
        </w:rPr>
        <w:t xml:space="preserve">İnfeksiyon ve enfestasyonlar: </w:t>
      </w:r>
    </w:p>
    <w:p w:rsidR="00C0016F" w:rsidRPr="00D176D9" w:rsidRDefault="00C0016F" w:rsidP="00C0016F">
      <w:pPr>
        <w:spacing w:line="360" w:lineRule="auto"/>
        <w:ind w:right="-662"/>
        <w:rPr>
          <w:lang w:val="tr-TR"/>
        </w:rPr>
      </w:pPr>
      <w:proofErr w:type="gramStart"/>
      <w:r w:rsidRPr="00D176D9">
        <w:rPr>
          <w:lang w:val="tr-TR"/>
        </w:rPr>
        <w:t>Seyrek :Uzun</w:t>
      </w:r>
      <w:proofErr w:type="gramEnd"/>
      <w:r w:rsidRPr="00D176D9">
        <w:rPr>
          <w:lang w:val="tr-TR"/>
        </w:rPr>
        <w:t xml:space="preserve"> süreli kullanımda candida aşırı çoğalması görülebilmektedir. </w:t>
      </w:r>
    </w:p>
    <w:p w:rsidR="00C0016F" w:rsidRPr="00D176D9" w:rsidRDefault="00C0016F" w:rsidP="00C0016F">
      <w:pPr>
        <w:spacing w:line="360" w:lineRule="auto"/>
        <w:ind w:right="-662"/>
        <w:jc w:val="both"/>
        <w:rPr>
          <w:b/>
          <w:lang w:val="tr-TR"/>
        </w:rPr>
      </w:pPr>
      <w:r w:rsidRPr="00D176D9">
        <w:rPr>
          <w:b/>
          <w:lang w:val="tr-TR"/>
        </w:rPr>
        <w:t xml:space="preserve">Kan ve lenfatik sistem hastalıkları: </w:t>
      </w:r>
    </w:p>
    <w:p w:rsidR="00C0016F" w:rsidRPr="00D176D9" w:rsidRDefault="00C0016F" w:rsidP="00C0016F">
      <w:pPr>
        <w:spacing w:line="360" w:lineRule="auto"/>
        <w:ind w:right="-662"/>
        <w:jc w:val="both"/>
        <w:rPr>
          <w:lang w:val="tr-TR"/>
        </w:rPr>
      </w:pPr>
      <w:r w:rsidRPr="00D176D9">
        <w:rPr>
          <w:lang w:val="tr-TR"/>
        </w:rPr>
        <w:t xml:space="preserve">Yaygın: nötropeni ve eosinofili </w:t>
      </w:r>
    </w:p>
    <w:p w:rsidR="00C0016F" w:rsidRPr="00D176D9" w:rsidRDefault="00C0016F" w:rsidP="00C0016F">
      <w:pPr>
        <w:spacing w:line="360" w:lineRule="auto"/>
        <w:ind w:right="-662"/>
        <w:jc w:val="both"/>
        <w:rPr>
          <w:lang w:val="tr-TR"/>
        </w:rPr>
      </w:pPr>
      <w:r w:rsidRPr="00D176D9">
        <w:rPr>
          <w:lang w:val="tr-TR"/>
        </w:rPr>
        <w:t xml:space="preserve">Yaygın olmayan: hemoglobin ve hematokrit seviyelerinde azalma, , </w:t>
      </w:r>
      <w:proofErr w:type="gramStart"/>
      <w:r w:rsidRPr="00D176D9">
        <w:rPr>
          <w:lang w:val="tr-TR"/>
        </w:rPr>
        <w:t>lökopeni , pozitif</w:t>
      </w:r>
      <w:proofErr w:type="gramEnd"/>
      <w:r w:rsidRPr="00D176D9">
        <w:rPr>
          <w:lang w:val="tr-TR"/>
        </w:rPr>
        <w:t xml:space="preserve"> cooms testi</w:t>
      </w:r>
    </w:p>
    <w:p w:rsidR="00C0016F" w:rsidRPr="00D176D9" w:rsidRDefault="00C0016F" w:rsidP="00C0016F">
      <w:pPr>
        <w:spacing w:line="360" w:lineRule="auto"/>
        <w:ind w:right="-662"/>
        <w:jc w:val="both"/>
        <w:rPr>
          <w:lang w:val="tr-TR"/>
        </w:rPr>
      </w:pPr>
      <w:r w:rsidRPr="00D176D9">
        <w:rPr>
          <w:lang w:val="tr-TR"/>
        </w:rPr>
        <w:t xml:space="preserve">Seyrek: trombositopeni </w:t>
      </w:r>
    </w:p>
    <w:p w:rsidR="00C0016F" w:rsidRPr="00D176D9" w:rsidRDefault="00C0016F" w:rsidP="00C0016F">
      <w:pPr>
        <w:spacing w:line="360" w:lineRule="auto"/>
        <w:ind w:right="-662"/>
        <w:jc w:val="both"/>
        <w:rPr>
          <w:lang w:val="tr-TR"/>
        </w:rPr>
      </w:pPr>
      <w:r w:rsidRPr="00D176D9">
        <w:rPr>
          <w:lang w:val="tr-TR"/>
        </w:rPr>
        <w:t xml:space="preserve">Çok </w:t>
      </w:r>
      <w:proofErr w:type="gramStart"/>
      <w:r w:rsidRPr="00D176D9">
        <w:rPr>
          <w:lang w:val="tr-TR"/>
        </w:rPr>
        <w:t>seyrek:hemolitik</w:t>
      </w:r>
      <w:proofErr w:type="gramEnd"/>
      <w:r w:rsidRPr="00D176D9">
        <w:rPr>
          <w:lang w:val="tr-TR"/>
        </w:rPr>
        <w:t xml:space="preserve"> anemi görülebilmektedir.</w:t>
      </w:r>
    </w:p>
    <w:p w:rsidR="00C0016F" w:rsidRPr="00D176D9" w:rsidRDefault="00C0016F" w:rsidP="00C0016F">
      <w:pPr>
        <w:spacing w:line="360" w:lineRule="auto"/>
        <w:ind w:right="-662"/>
        <w:jc w:val="both"/>
        <w:rPr>
          <w:b/>
          <w:lang w:val="tr-TR"/>
        </w:rPr>
      </w:pPr>
      <w:r w:rsidRPr="00D176D9">
        <w:rPr>
          <w:b/>
          <w:lang w:val="tr-TR"/>
        </w:rPr>
        <w:t xml:space="preserve">İmmun sistem bozuklukları ve </w:t>
      </w:r>
      <w:proofErr w:type="gramStart"/>
      <w:r w:rsidRPr="00D176D9">
        <w:rPr>
          <w:b/>
          <w:lang w:val="tr-TR"/>
        </w:rPr>
        <w:t>hipersensitivite  reaksiyonları</w:t>
      </w:r>
      <w:proofErr w:type="gramEnd"/>
      <w:r w:rsidRPr="00D176D9">
        <w:rPr>
          <w:b/>
          <w:lang w:val="tr-TR"/>
        </w:rPr>
        <w:t>:</w:t>
      </w:r>
    </w:p>
    <w:p w:rsidR="00C0016F" w:rsidRPr="00D176D9" w:rsidRDefault="00C0016F" w:rsidP="00C0016F">
      <w:pPr>
        <w:spacing w:line="360" w:lineRule="auto"/>
        <w:ind w:right="-662"/>
        <w:jc w:val="both"/>
        <w:rPr>
          <w:lang w:val="tr-TR"/>
        </w:rPr>
      </w:pPr>
      <w:r w:rsidRPr="00D176D9">
        <w:rPr>
          <w:lang w:val="tr-TR"/>
        </w:rPr>
        <w:t>Yaygın olmayan: deride kızarıklık, döküntü, pruritis, hipersensitiviteye bağlı olarak ürtiker</w:t>
      </w:r>
    </w:p>
    <w:p w:rsidR="00C0016F" w:rsidRPr="00D176D9" w:rsidRDefault="00C0016F" w:rsidP="00C0016F">
      <w:pPr>
        <w:spacing w:line="360" w:lineRule="auto"/>
        <w:ind w:right="-662"/>
        <w:jc w:val="both"/>
        <w:rPr>
          <w:lang w:val="tr-TR"/>
        </w:rPr>
      </w:pPr>
      <w:proofErr w:type="gramStart"/>
      <w:r w:rsidRPr="00D176D9">
        <w:rPr>
          <w:lang w:val="tr-TR"/>
        </w:rPr>
        <w:t>Seyrek:ilaç</w:t>
      </w:r>
      <w:proofErr w:type="gramEnd"/>
      <w:r w:rsidRPr="00D176D9">
        <w:rPr>
          <w:lang w:val="tr-TR"/>
        </w:rPr>
        <w:t xml:space="preserve"> ateşi</w:t>
      </w:r>
    </w:p>
    <w:p w:rsidR="00C0016F" w:rsidRPr="00D176D9" w:rsidRDefault="00C0016F" w:rsidP="00C0016F">
      <w:pPr>
        <w:spacing w:line="360" w:lineRule="auto"/>
        <w:ind w:right="-662"/>
        <w:jc w:val="both"/>
        <w:rPr>
          <w:lang w:val="tr-TR"/>
        </w:rPr>
      </w:pPr>
      <w:r w:rsidRPr="00D176D9">
        <w:rPr>
          <w:lang w:val="tr-TR"/>
        </w:rPr>
        <w:t xml:space="preserve">Çok seyrek: anaflaksi gibi aşırı duyarlılık reaksiyonları, interstisyel </w:t>
      </w:r>
      <w:proofErr w:type="gramStart"/>
      <w:r w:rsidRPr="00D176D9">
        <w:rPr>
          <w:lang w:val="tr-TR"/>
        </w:rPr>
        <w:t>nefrit ,kutanöz</w:t>
      </w:r>
      <w:proofErr w:type="gramEnd"/>
      <w:r w:rsidRPr="00D176D9">
        <w:rPr>
          <w:lang w:val="tr-TR"/>
        </w:rPr>
        <w:t xml:space="preserve"> vaskülit</w:t>
      </w:r>
    </w:p>
    <w:p w:rsidR="00C0016F" w:rsidRPr="00D176D9" w:rsidRDefault="00C0016F" w:rsidP="00C0016F">
      <w:pPr>
        <w:spacing w:line="360" w:lineRule="auto"/>
        <w:ind w:right="-662"/>
        <w:jc w:val="both"/>
        <w:rPr>
          <w:b/>
          <w:lang w:val="tr-TR"/>
        </w:rPr>
      </w:pPr>
      <w:r w:rsidRPr="00D176D9">
        <w:rPr>
          <w:b/>
          <w:lang w:val="tr-TR"/>
        </w:rPr>
        <w:t>Gastrointestinal sistem hastalıkları:</w:t>
      </w:r>
    </w:p>
    <w:p w:rsidR="00C0016F" w:rsidRPr="00D176D9" w:rsidRDefault="00C0016F" w:rsidP="00C0016F">
      <w:pPr>
        <w:spacing w:line="360" w:lineRule="auto"/>
        <w:ind w:right="-662"/>
        <w:jc w:val="both"/>
        <w:rPr>
          <w:lang w:val="tr-TR"/>
        </w:rPr>
      </w:pPr>
      <w:r w:rsidRPr="00D176D9">
        <w:rPr>
          <w:lang w:val="tr-TR"/>
        </w:rPr>
        <w:t xml:space="preserve">Yaygın </w:t>
      </w:r>
      <w:proofErr w:type="gramStart"/>
      <w:r w:rsidRPr="00D176D9">
        <w:rPr>
          <w:lang w:val="tr-TR"/>
        </w:rPr>
        <w:t>olmayan :gastrointestinal</w:t>
      </w:r>
      <w:proofErr w:type="gramEnd"/>
      <w:r w:rsidRPr="00D176D9">
        <w:rPr>
          <w:lang w:val="tr-TR"/>
        </w:rPr>
        <w:t xml:space="preserve"> rahatsızlık </w:t>
      </w:r>
    </w:p>
    <w:p w:rsidR="00C0016F" w:rsidRPr="00D176D9" w:rsidRDefault="00C0016F" w:rsidP="00C0016F">
      <w:pPr>
        <w:spacing w:line="360" w:lineRule="auto"/>
        <w:ind w:right="-662"/>
        <w:jc w:val="both"/>
        <w:rPr>
          <w:lang w:val="tr-TR"/>
        </w:rPr>
      </w:pPr>
      <w:r w:rsidRPr="00D176D9">
        <w:rPr>
          <w:lang w:val="tr-TR"/>
        </w:rPr>
        <w:t xml:space="preserve">Çok seyrek: psödomembranöz kolit, </w:t>
      </w:r>
    </w:p>
    <w:p w:rsidR="00C0016F" w:rsidRPr="00D176D9" w:rsidRDefault="00C0016F" w:rsidP="00C0016F">
      <w:pPr>
        <w:spacing w:line="360" w:lineRule="auto"/>
        <w:ind w:right="-662"/>
        <w:jc w:val="both"/>
        <w:rPr>
          <w:b/>
          <w:lang w:val="tr-TR"/>
        </w:rPr>
      </w:pPr>
      <w:r w:rsidRPr="00D176D9">
        <w:rPr>
          <w:b/>
          <w:lang w:val="tr-TR"/>
        </w:rPr>
        <w:t>Hepatobilier bozukluklar:</w:t>
      </w:r>
    </w:p>
    <w:p w:rsidR="00C0016F" w:rsidRPr="00D176D9" w:rsidRDefault="00C0016F" w:rsidP="00C0016F">
      <w:pPr>
        <w:spacing w:line="360" w:lineRule="auto"/>
        <w:ind w:right="-662"/>
        <w:jc w:val="both"/>
        <w:rPr>
          <w:lang w:val="tr-TR"/>
        </w:rPr>
      </w:pPr>
      <w:r w:rsidRPr="00D176D9">
        <w:rPr>
          <w:lang w:val="tr-TR"/>
        </w:rPr>
        <w:t xml:space="preserve">Yaygın: karaciğer enzimlerinde geçici yükselmeler (ALT, AST ve LDH), </w:t>
      </w:r>
    </w:p>
    <w:p w:rsidR="00C0016F" w:rsidRPr="00D176D9" w:rsidRDefault="00C0016F" w:rsidP="00C0016F">
      <w:pPr>
        <w:spacing w:line="360" w:lineRule="auto"/>
        <w:ind w:right="-662"/>
        <w:jc w:val="both"/>
        <w:rPr>
          <w:lang w:val="tr-TR"/>
        </w:rPr>
      </w:pPr>
      <w:r w:rsidRPr="00D176D9">
        <w:rPr>
          <w:lang w:val="tr-TR"/>
        </w:rPr>
        <w:t xml:space="preserve">Yaygın </w:t>
      </w:r>
      <w:proofErr w:type="gramStart"/>
      <w:r w:rsidRPr="00D176D9">
        <w:rPr>
          <w:lang w:val="tr-TR"/>
        </w:rPr>
        <w:t>olmayan : Serum</w:t>
      </w:r>
      <w:proofErr w:type="gramEnd"/>
      <w:r w:rsidRPr="00D176D9">
        <w:rPr>
          <w:lang w:val="tr-TR"/>
        </w:rPr>
        <w:t xml:space="preserve"> bilirubinde  geçici yükselmeler</w:t>
      </w:r>
    </w:p>
    <w:p w:rsidR="00C0016F" w:rsidRPr="00D176D9" w:rsidRDefault="00C0016F" w:rsidP="00C0016F">
      <w:pPr>
        <w:spacing w:line="360" w:lineRule="auto"/>
        <w:ind w:right="-662"/>
        <w:jc w:val="both"/>
        <w:rPr>
          <w:b/>
          <w:lang w:val="tr-TR"/>
        </w:rPr>
      </w:pPr>
      <w:r w:rsidRPr="00D176D9">
        <w:rPr>
          <w:b/>
          <w:lang w:val="tr-TR"/>
        </w:rPr>
        <w:t>Deri ve deri altı doku hastalıkları:</w:t>
      </w:r>
    </w:p>
    <w:p w:rsidR="00C0016F" w:rsidRPr="00D176D9" w:rsidRDefault="00C0016F" w:rsidP="00C0016F">
      <w:pPr>
        <w:spacing w:line="360" w:lineRule="auto"/>
        <w:ind w:right="-662"/>
        <w:jc w:val="both"/>
        <w:rPr>
          <w:lang w:val="tr-TR"/>
        </w:rPr>
      </w:pPr>
      <w:r w:rsidRPr="00D176D9">
        <w:rPr>
          <w:lang w:val="tr-TR"/>
        </w:rPr>
        <w:t xml:space="preserve">Çok seyrek: Eritema multiforme, Stevens-Johnson </w:t>
      </w:r>
      <w:proofErr w:type="gramStart"/>
      <w:r w:rsidRPr="00D176D9">
        <w:rPr>
          <w:lang w:val="tr-TR"/>
        </w:rPr>
        <w:t>sendromu</w:t>
      </w:r>
      <w:proofErr w:type="gramEnd"/>
      <w:r w:rsidRPr="00D176D9">
        <w:rPr>
          <w:lang w:val="tr-TR"/>
        </w:rPr>
        <w:t xml:space="preserve">, toksik epidermal nekrolizis </w:t>
      </w:r>
    </w:p>
    <w:p w:rsidR="00C0016F" w:rsidRPr="00D176D9" w:rsidRDefault="00C0016F" w:rsidP="00C0016F">
      <w:pPr>
        <w:spacing w:line="360" w:lineRule="auto"/>
        <w:ind w:right="-662"/>
        <w:rPr>
          <w:lang w:val="tr-TR"/>
        </w:rPr>
      </w:pPr>
      <w:proofErr w:type="gramStart"/>
      <w:r w:rsidRPr="00D176D9">
        <w:rPr>
          <w:b/>
          <w:lang w:val="tr-TR"/>
        </w:rPr>
        <w:t>Renal  ve</w:t>
      </w:r>
      <w:proofErr w:type="gramEnd"/>
      <w:r w:rsidRPr="00D176D9">
        <w:rPr>
          <w:b/>
          <w:lang w:val="tr-TR"/>
        </w:rPr>
        <w:t xml:space="preserve"> idrar yolları bozuklukları:</w:t>
      </w:r>
      <w:r w:rsidRPr="00D176D9">
        <w:rPr>
          <w:lang w:val="tr-TR"/>
        </w:rPr>
        <w:t xml:space="preserve"> </w:t>
      </w:r>
    </w:p>
    <w:p w:rsidR="00C0016F" w:rsidRPr="00D176D9" w:rsidRDefault="00C0016F" w:rsidP="00C0016F">
      <w:pPr>
        <w:spacing w:line="360" w:lineRule="auto"/>
        <w:ind w:right="-662"/>
        <w:rPr>
          <w:lang w:val="tr-TR"/>
        </w:rPr>
      </w:pPr>
      <w:r w:rsidRPr="00D176D9">
        <w:rPr>
          <w:lang w:val="tr-TR"/>
        </w:rPr>
        <w:t xml:space="preserve">Çok seyrek: serum kreatinin ve/veya kan üre,  azot değerlerinde yükselmeler ve kreatinin klerensinde azalma </w:t>
      </w:r>
    </w:p>
    <w:p w:rsidR="00C0016F" w:rsidRPr="00D176D9" w:rsidRDefault="00C0016F" w:rsidP="00C0016F">
      <w:pPr>
        <w:spacing w:line="360" w:lineRule="auto"/>
        <w:ind w:right="-662"/>
        <w:jc w:val="both"/>
        <w:rPr>
          <w:b/>
          <w:lang w:val="tr-TR"/>
        </w:rPr>
      </w:pPr>
      <w:r w:rsidRPr="00D176D9">
        <w:rPr>
          <w:b/>
          <w:lang w:val="tr-TR"/>
        </w:rPr>
        <w:t>Genel bozukluklar veya uygulama yeri reaksiyonları:</w:t>
      </w:r>
    </w:p>
    <w:p w:rsidR="00C0016F" w:rsidRPr="00D176D9" w:rsidRDefault="00C0016F" w:rsidP="00C0016F">
      <w:pPr>
        <w:spacing w:line="360" w:lineRule="auto"/>
        <w:ind w:right="-662"/>
        <w:jc w:val="both"/>
        <w:rPr>
          <w:lang w:val="tr-TR"/>
        </w:rPr>
      </w:pPr>
      <w:r w:rsidRPr="00D176D9">
        <w:rPr>
          <w:lang w:val="tr-TR"/>
        </w:rPr>
        <w:t xml:space="preserve">Yaygın: İntramüsküler enjeksiyon yerinde geçici </w:t>
      </w:r>
      <w:proofErr w:type="gramStart"/>
      <w:r w:rsidRPr="00D176D9">
        <w:rPr>
          <w:lang w:val="tr-TR"/>
        </w:rPr>
        <w:t>ağrı .Bu</w:t>
      </w:r>
      <w:proofErr w:type="gramEnd"/>
      <w:r w:rsidRPr="00D176D9">
        <w:rPr>
          <w:lang w:val="tr-TR"/>
        </w:rPr>
        <w:t xml:space="preserve"> daha çok yüksek dozlarda meydana gelir. Ancak bu durum tedavinin kesilmesini genellikle gerektirmez.</w:t>
      </w:r>
    </w:p>
    <w:p w:rsidR="00C0016F" w:rsidRPr="00D176D9" w:rsidRDefault="00C0016F" w:rsidP="00C0016F">
      <w:pPr>
        <w:spacing w:line="360" w:lineRule="auto"/>
        <w:ind w:right="-662"/>
        <w:jc w:val="both"/>
        <w:rPr>
          <w:lang w:val="tr-TR"/>
        </w:rPr>
      </w:pPr>
    </w:p>
    <w:p w:rsidR="00625D72" w:rsidRPr="00D176D9" w:rsidRDefault="00625D72" w:rsidP="00C0016F">
      <w:pPr>
        <w:spacing w:line="360" w:lineRule="auto"/>
        <w:ind w:right="-662"/>
        <w:jc w:val="both"/>
        <w:rPr>
          <w:lang w:val="tr-TR"/>
        </w:rPr>
      </w:pPr>
    </w:p>
    <w:p w:rsidR="00625D72" w:rsidRPr="007C2241" w:rsidRDefault="00625D72" w:rsidP="00625D72">
      <w:pPr>
        <w:spacing w:line="360" w:lineRule="auto"/>
        <w:jc w:val="both"/>
        <w:rPr>
          <w:u w:val="single"/>
        </w:rPr>
      </w:pPr>
      <w:r w:rsidRPr="007C2241">
        <w:rPr>
          <w:u w:val="single"/>
        </w:rPr>
        <w:t>Şüpheli advers reaksiyonların raporlanması</w:t>
      </w:r>
    </w:p>
    <w:p w:rsidR="00625D72" w:rsidRPr="007C2241" w:rsidRDefault="00625D72" w:rsidP="00625D72">
      <w:pPr>
        <w:spacing w:line="360" w:lineRule="auto"/>
        <w:jc w:val="both"/>
      </w:pPr>
      <w:r w:rsidRPr="007C2241">
        <w:t>Ruhsatlandırma sonrası şüpheli ilaç advers reaksiyonlarının raporlanması büyük önem taşımaktadır. Raporlama yapılması, ilacın yarar / risk dengesinin sürekli olarak izlenmesine olanak sağlar. Sağlık mesleği mensuplarının herhangi bir şüpheli advers reaksiyonu Türkiye Farmakovijilans Merkezi (TÜFAM)'ne bildirmeleri gerekmektedir. (www.titck.gov.tr;                e-posta: tufam@titck.gov.tr; tel: 0 800 314 00 08; faks: 0 312 218 35 99)</w:t>
      </w:r>
    </w:p>
    <w:p w:rsidR="00542BDC" w:rsidRPr="00D176D9" w:rsidRDefault="00542BDC" w:rsidP="00C0016F">
      <w:pPr>
        <w:spacing w:line="360" w:lineRule="auto"/>
        <w:ind w:right="-662"/>
        <w:jc w:val="both"/>
        <w:rPr>
          <w:lang w:val="tr-TR"/>
        </w:rPr>
      </w:pPr>
    </w:p>
    <w:p w:rsidR="00C0016F" w:rsidRPr="00D176D9" w:rsidRDefault="00C0016F" w:rsidP="00C0016F">
      <w:pPr>
        <w:spacing w:line="360" w:lineRule="auto"/>
        <w:jc w:val="both"/>
        <w:rPr>
          <w:lang w:val="tr-TR"/>
        </w:rPr>
      </w:pPr>
      <w:r w:rsidRPr="00D176D9">
        <w:rPr>
          <w:b/>
          <w:bCs/>
          <w:lang w:val="tr-TR"/>
        </w:rPr>
        <w:t>4.9 Doz aşımı ve tedavisi</w:t>
      </w:r>
    </w:p>
    <w:p w:rsidR="00C0016F" w:rsidRPr="00D176D9" w:rsidRDefault="00C0016F" w:rsidP="00C0016F">
      <w:pPr>
        <w:spacing w:line="360" w:lineRule="auto"/>
        <w:ind w:right="-662"/>
        <w:jc w:val="both"/>
        <w:rPr>
          <w:lang w:val="tr-TR"/>
        </w:rPr>
      </w:pPr>
      <w:r w:rsidRPr="00D176D9">
        <w:rPr>
          <w:lang w:val="tr-TR"/>
        </w:rPr>
        <w:t>Sefalosporinlerin çok yüksek dozda alınması, konvülsiyonlara sebep olabilmektedir. Böyle hallerde ilaç derhal kesilmeli, gereğinde antikonvülsan ilaçlar verilmelidir. Hemodiyaliz ve peritonal diyaliz sefuroksimin serum düzeyini düşürmekte yarar sağlamaktadır.</w:t>
      </w:r>
    </w:p>
    <w:p w:rsidR="00C0016F" w:rsidRPr="00D176D9" w:rsidRDefault="00C0016F" w:rsidP="00C0016F">
      <w:pPr>
        <w:spacing w:line="360" w:lineRule="auto"/>
        <w:ind w:right="-662"/>
        <w:jc w:val="both"/>
        <w:rPr>
          <w:lang w:val="tr-TR"/>
        </w:rPr>
      </w:pPr>
    </w:p>
    <w:p w:rsidR="00C0016F" w:rsidRPr="00D176D9" w:rsidRDefault="00C0016F" w:rsidP="00C0016F">
      <w:pPr>
        <w:spacing w:line="360" w:lineRule="auto"/>
        <w:jc w:val="both"/>
        <w:rPr>
          <w:b/>
          <w:lang w:val="tr-TR"/>
        </w:rPr>
      </w:pPr>
      <w:r w:rsidRPr="00D176D9">
        <w:rPr>
          <w:b/>
          <w:lang w:val="tr-TR"/>
        </w:rPr>
        <w:t xml:space="preserve">5. FARMAKOLOJİK ÖZELLİKLER </w:t>
      </w:r>
    </w:p>
    <w:p w:rsidR="00C0016F" w:rsidRPr="00D176D9" w:rsidRDefault="00C0016F" w:rsidP="00C0016F">
      <w:pPr>
        <w:spacing w:line="360" w:lineRule="auto"/>
        <w:jc w:val="both"/>
        <w:rPr>
          <w:b/>
          <w:lang w:val="tr-TR"/>
        </w:rPr>
      </w:pPr>
      <w:r w:rsidRPr="00D176D9">
        <w:rPr>
          <w:b/>
          <w:bCs/>
          <w:lang w:val="tr-TR"/>
        </w:rPr>
        <w:t xml:space="preserve">5.1 Farmakodinamik özellikler </w:t>
      </w:r>
    </w:p>
    <w:p w:rsidR="00C0016F" w:rsidRPr="00D176D9" w:rsidRDefault="00C0016F" w:rsidP="00C0016F">
      <w:pPr>
        <w:spacing w:line="360" w:lineRule="auto"/>
        <w:jc w:val="both"/>
        <w:rPr>
          <w:lang w:val="tr-TR"/>
        </w:rPr>
      </w:pPr>
      <w:r w:rsidRPr="00D176D9">
        <w:rPr>
          <w:lang w:val="tr-TR"/>
        </w:rPr>
        <w:t xml:space="preserve">Farmakoterapötik grup: İkinci kuşak sefalosporinler  </w:t>
      </w:r>
    </w:p>
    <w:p w:rsidR="00C0016F" w:rsidRPr="00D176D9" w:rsidRDefault="00C0016F" w:rsidP="00C0016F">
      <w:pPr>
        <w:spacing w:line="360" w:lineRule="auto"/>
        <w:jc w:val="both"/>
        <w:rPr>
          <w:lang w:val="tr-TR"/>
        </w:rPr>
      </w:pPr>
      <w:r w:rsidRPr="00D176D9">
        <w:rPr>
          <w:lang w:val="tr-TR"/>
        </w:rPr>
        <w:t xml:space="preserve">ATC kodu: </w:t>
      </w:r>
      <w:bookmarkStart w:id="0" w:name="OLE_LINK2"/>
      <w:r w:rsidRPr="00D176D9">
        <w:rPr>
          <w:lang w:val="tr-TR"/>
        </w:rPr>
        <w:t>J01DC02</w:t>
      </w:r>
      <w:bookmarkEnd w:id="0"/>
    </w:p>
    <w:p w:rsidR="00C0016F" w:rsidRPr="00D176D9" w:rsidRDefault="00C0016F" w:rsidP="00C0016F">
      <w:pPr>
        <w:spacing w:line="360" w:lineRule="auto"/>
        <w:ind w:right="-662"/>
        <w:jc w:val="both"/>
        <w:rPr>
          <w:lang w:val="tr-TR"/>
        </w:rPr>
      </w:pPr>
      <w:r w:rsidRPr="00D176D9">
        <w:rPr>
          <w:lang w:val="tr-TR"/>
        </w:rPr>
        <w:t xml:space="preserve">Sefuroksim, parenteral (İM, İV) yoldan uygulanabilen, çoğu beta-laktamazlara dirençli, semi-sentetik, geniş spektrumlu sefalosporin grubu bakterisid etkili bir antibiyotiktir. </w:t>
      </w:r>
    </w:p>
    <w:p w:rsidR="00C0016F" w:rsidRPr="00D176D9" w:rsidRDefault="00C0016F" w:rsidP="00C0016F">
      <w:pPr>
        <w:spacing w:line="360" w:lineRule="auto"/>
        <w:ind w:right="-662"/>
        <w:jc w:val="both"/>
        <w:rPr>
          <w:lang w:val="tr-TR"/>
        </w:rPr>
      </w:pPr>
      <w:r w:rsidRPr="00D176D9">
        <w:rPr>
          <w:b/>
          <w:lang w:val="tr-TR"/>
        </w:rPr>
        <w:t>Mikrobiyoloji:</w:t>
      </w:r>
      <w:r w:rsidRPr="00D176D9">
        <w:rPr>
          <w:lang w:val="tr-TR"/>
        </w:rPr>
        <w:t xml:space="preserve"> </w:t>
      </w:r>
    </w:p>
    <w:p w:rsidR="00C0016F" w:rsidRPr="00D176D9" w:rsidRDefault="00C0016F" w:rsidP="00C0016F">
      <w:pPr>
        <w:spacing w:line="360" w:lineRule="auto"/>
        <w:ind w:right="-662"/>
        <w:jc w:val="both"/>
        <w:rPr>
          <w:lang w:val="tr-TR"/>
        </w:rPr>
      </w:pPr>
      <w:r w:rsidRPr="00D176D9">
        <w:rPr>
          <w:lang w:val="tr-TR"/>
        </w:rPr>
        <w:t>Sefuroksim bakteri hücre duvarı sentezini inhibe eder ve bu yolla bakterisid etki gösterir.</w:t>
      </w:r>
    </w:p>
    <w:p w:rsidR="00C0016F" w:rsidRPr="00D176D9" w:rsidRDefault="00C0016F" w:rsidP="00C0016F">
      <w:pPr>
        <w:spacing w:line="360" w:lineRule="auto"/>
        <w:ind w:right="-662"/>
        <w:jc w:val="both"/>
        <w:rPr>
          <w:lang w:val="tr-TR"/>
        </w:rPr>
      </w:pPr>
      <w:r w:rsidRPr="00D176D9">
        <w:rPr>
          <w:lang w:val="tr-TR"/>
        </w:rPr>
        <w:t xml:space="preserve">Sefuroksim, </w:t>
      </w:r>
      <w:r w:rsidRPr="00D176D9">
        <w:rPr>
          <w:i/>
          <w:lang w:val="tr-TR"/>
        </w:rPr>
        <w:t>beta-laktamaz</w:t>
      </w:r>
      <w:r w:rsidRPr="00D176D9">
        <w:rPr>
          <w:lang w:val="tr-TR"/>
        </w:rPr>
        <w:t xml:space="preserve"> üretenler </w:t>
      </w:r>
      <w:proofErr w:type="gramStart"/>
      <w:r w:rsidRPr="00D176D9">
        <w:rPr>
          <w:lang w:val="tr-TR"/>
        </w:rPr>
        <w:t>dahil</w:t>
      </w:r>
      <w:proofErr w:type="gramEnd"/>
      <w:r w:rsidRPr="00D176D9">
        <w:rPr>
          <w:lang w:val="tr-TR"/>
        </w:rPr>
        <w:t xml:space="preserve"> birçok Gram-negatif ve Gram-pozitif bakteri üzerinde bakterisid etkiye sahiptir. </w:t>
      </w:r>
      <w:r w:rsidRPr="00D176D9">
        <w:rPr>
          <w:i/>
          <w:lang w:val="tr-TR"/>
        </w:rPr>
        <w:t>Beta-laktamaz</w:t>
      </w:r>
      <w:r w:rsidRPr="00D176D9">
        <w:rPr>
          <w:lang w:val="tr-TR"/>
        </w:rPr>
        <w:t xml:space="preserve"> enzimlerine, özellikle </w:t>
      </w:r>
      <w:r w:rsidRPr="00D176D9">
        <w:rPr>
          <w:i/>
          <w:lang w:val="tr-TR"/>
        </w:rPr>
        <w:t>Enterobacteriaceae</w:t>
      </w:r>
      <w:r w:rsidRPr="00D176D9">
        <w:rPr>
          <w:lang w:val="tr-TR"/>
        </w:rPr>
        <w:t xml:space="preserve"> türlerinde sık rastlanılan plasmid aracılığı ile transfer edilen beta-laktamaz enzimlerine karşı dirençlidir.</w:t>
      </w:r>
    </w:p>
    <w:p w:rsidR="00C0016F" w:rsidRPr="00D176D9" w:rsidRDefault="00C0016F" w:rsidP="00C0016F">
      <w:pPr>
        <w:spacing w:line="360" w:lineRule="auto"/>
        <w:ind w:right="-662"/>
        <w:jc w:val="both"/>
        <w:rPr>
          <w:lang w:val="tr-TR"/>
        </w:rPr>
      </w:pPr>
      <w:r w:rsidRPr="00D176D9">
        <w:rPr>
          <w:lang w:val="tr-TR"/>
        </w:rPr>
        <w:t xml:space="preserve">Ampisilin ve amoksisiline dirençli birçok suş üzerine de etkilidir. </w:t>
      </w:r>
    </w:p>
    <w:p w:rsidR="00C0016F" w:rsidRPr="00D176D9" w:rsidRDefault="00C0016F" w:rsidP="00C0016F">
      <w:pPr>
        <w:spacing w:line="360" w:lineRule="auto"/>
        <w:ind w:right="-662"/>
        <w:jc w:val="both"/>
        <w:rPr>
          <w:lang w:val="tr-TR"/>
        </w:rPr>
      </w:pPr>
      <w:r w:rsidRPr="00D176D9">
        <w:rPr>
          <w:lang w:val="tr-TR"/>
        </w:rPr>
        <w:t>Sefuroksimin etkili olduğu mikroorganizmaların başlıcaları şunlardır:</w:t>
      </w:r>
    </w:p>
    <w:p w:rsidR="00C0016F" w:rsidRPr="00D176D9" w:rsidRDefault="00C0016F" w:rsidP="00C0016F">
      <w:pPr>
        <w:spacing w:line="360" w:lineRule="auto"/>
        <w:ind w:right="-662"/>
        <w:jc w:val="both"/>
        <w:rPr>
          <w:lang w:val="tr-TR"/>
        </w:rPr>
      </w:pPr>
      <w:r w:rsidRPr="00D176D9">
        <w:rPr>
          <w:b/>
          <w:lang w:val="tr-TR"/>
        </w:rPr>
        <w:t>Gram-negatif mikroorganizmalar:</w:t>
      </w:r>
      <w:r w:rsidRPr="00D176D9">
        <w:rPr>
          <w:lang w:val="tr-TR"/>
        </w:rPr>
        <w:t xml:space="preserve"> </w:t>
      </w:r>
      <w:r w:rsidRPr="00D176D9">
        <w:rPr>
          <w:i/>
          <w:lang w:val="tr-TR"/>
        </w:rPr>
        <w:t>Haemophilus influenzae</w:t>
      </w:r>
      <w:r w:rsidRPr="00D176D9">
        <w:rPr>
          <w:lang w:val="tr-TR"/>
        </w:rPr>
        <w:t xml:space="preserve"> (ampisiline dirençli suşlar </w:t>
      </w:r>
      <w:proofErr w:type="gramStart"/>
      <w:r w:rsidRPr="00D176D9">
        <w:rPr>
          <w:lang w:val="tr-TR"/>
        </w:rPr>
        <w:t>dahil</w:t>
      </w:r>
      <w:proofErr w:type="gramEnd"/>
      <w:r w:rsidRPr="00D176D9">
        <w:rPr>
          <w:lang w:val="tr-TR"/>
        </w:rPr>
        <w:t xml:space="preserve">), </w:t>
      </w:r>
      <w:r w:rsidRPr="00D176D9">
        <w:rPr>
          <w:i/>
          <w:lang w:val="tr-TR"/>
        </w:rPr>
        <w:t>Haemophilus parainfluenzae</w:t>
      </w:r>
      <w:r w:rsidRPr="00D176D9">
        <w:rPr>
          <w:lang w:val="tr-TR"/>
        </w:rPr>
        <w:t xml:space="preserve"> (ampisiline dirençli suşlar dahil), </w:t>
      </w:r>
      <w:r w:rsidRPr="00D176D9">
        <w:rPr>
          <w:i/>
          <w:lang w:val="tr-TR"/>
        </w:rPr>
        <w:t>Neisseria meningitidis, Neisseria gonorrhoeae</w:t>
      </w:r>
      <w:r w:rsidRPr="00D176D9">
        <w:rPr>
          <w:lang w:val="tr-TR"/>
        </w:rPr>
        <w:t xml:space="preserve"> (penisilinaz üreten ve üretmeyen suşlar dahil), </w:t>
      </w:r>
      <w:r w:rsidRPr="00D176D9">
        <w:rPr>
          <w:i/>
          <w:lang w:val="tr-TR"/>
        </w:rPr>
        <w:t>Escherichia coli, Klebsiella</w:t>
      </w:r>
      <w:r w:rsidRPr="00D176D9">
        <w:rPr>
          <w:lang w:val="tr-TR"/>
        </w:rPr>
        <w:t xml:space="preserve"> türleri (</w:t>
      </w:r>
      <w:r w:rsidRPr="00D176D9">
        <w:rPr>
          <w:i/>
          <w:lang w:val="tr-TR"/>
        </w:rPr>
        <w:t>Klebsiella pneumoniae</w:t>
      </w:r>
      <w:r w:rsidRPr="00D176D9">
        <w:rPr>
          <w:lang w:val="tr-TR"/>
        </w:rPr>
        <w:t xml:space="preserve"> dahil), </w:t>
      </w:r>
      <w:r w:rsidRPr="00D176D9">
        <w:rPr>
          <w:i/>
          <w:lang w:val="tr-TR"/>
        </w:rPr>
        <w:t>Enterobacter</w:t>
      </w:r>
      <w:r w:rsidRPr="00D176D9">
        <w:rPr>
          <w:lang w:val="tr-TR"/>
        </w:rPr>
        <w:t xml:space="preserve"> türleri, </w:t>
      </w:r>
      <w:r w:rsidRPr="00D176D9">
        <w:rPr>
          <w:i/>
          <w:lang w:val="tr-TR"/>
        </w:rPr>
        <w:t>Citrobacter</w:t>
      </w:r>
      <w:r w:rsidRPr="00D176D9">
        <w:rPr>
          <w:lang w:val="tr-TR"/>
        </w:rPr>
        <w:t xml:space="preserve"> türleri, </w:t>
      </w:r>
      <w:r w:rsidRPr="00D176D9">
        <w:rPr>
          <w:i/>
          <w:lang w:val="tr-TR"/>
        </w:rPr>
        <w:t xml:space="preserve">Salmonella </w:t>
      </w:r>
      <w:r w:rsidRPr="00D176D9">
        <w:rPr>
          <w:lang w:val="tr-TR"/>
        </w:rPr>
        <w:t xml:space="preserve">türleri, </w:t>
      </w:r>
      <w:r w:rsidRPr="00D176D9">
        <w:rPr>
          <w:i/>
          <w:lang w:val="tr-TR"/>
        </w:rPr>
        <w:t xml:space="preserve">Shigella </w:t>
      </w:r>
      <w:r w:rsidRPr="00D176D9">
        <w:rPr>
          <w:lang w:val="tr-TR"/>
        </w:rPr>
        <w:t xml:space="preserve">türleri, </w:t>
      </w:r>
      <w:r w:rsidRPr="00D176D9">
        <w:rPr>
          <w:i/>
          <w:lang w:val="tr-TR"/>
        </w:rPr>
        <w:t>Proteus mirabilis</w:t>
      </w:r>
      <w:r w:rsidRPr="00D176D9">
        <w:rPr>
          <w:lang w:val="tr-TR"/>
        </w:rPr>
        <w:t xml:space="preserve">, </w:t>
      </w:r>
      <w:r w:rsidRPr="00D176D9">
        <w:rPr>
          <w:i/>
          <w:lang w:val="tr-TR"/>
        </w:rPr>
        <w:t>Providencia</w:t>
      </w:r>
      <w:r w:rsidRPr="00D176D9">
        <w:rPr>
          <w:lang w:val="tr-TR"/>
        </w:rPr>
        <w:t xml:space="preserve"> türleri, </w:t>
      </w:r>
      <w:r w:rsidRPr="00D176D9">
        <w:rPr>
          <w:i/>
          <w:lang w:val="tr-TR"/>
        </w:rPr>
        <w:t>Proteus rettgeri, Proteus inconstans, Morganella</w:t>
      </w:r>
      <w:r w:rsidRPr="00D176D9">
        <w:rPr>
          <w:lang w:val="tr-TR"/>
        </w:rPr>
        <w:t xml:space="preserve"> </w:t>
      </w:r>
      <w:r w:rsidRPr="00D176D9">
        <w:rPr>
          <w:i/>
          <w:lang w:val="tr-TR"/>
        </w:rPr>
        <w:t>morganii, Moraxella catarrhalis</w:t>
      </w:r>
      <w:r w:rsidRPr="00D176D9">
        <w:rPr>
          <w:lang w:val="tr-TR"/>
        </w:rPr>
        <w:t xml:space="preserve"> (ampisiline dirençli suşlar dahil). </w:t>
      </w:r>
    </w:p>
    <w:p w:rsidR="00C0016F" w:rsidRPr="00D176D9" w:rsidRDefault="00C0016F" w:rsidP="00C0016F">
      <w:pPr>
        <w:spacing w:line="360" w:lineRule="auto"/>
        <w:ind w:right="-662"/>
        <w:jc w:val="both"/>
        <w:rPr>
          <w:lang w:val="tr-TR"/>
        </w:rPr>
      </w:pPr>
      <w:r w:rsidRPr="00D176D9">
        <w:rPr>
          <w:b/>
          <w:lang w:val="tr-TR"/>
        </w:rPr>
        <w:t>Gram-pozitif mikroorganizmalar:</w:t>
      </w:r>
      <w:r w:rsidRPr="00D176D9">
        <w:rPr>
          <w:lang w:val="tr-TR"/>
        </w:rPr>
        <w:t xml:space="preserve"> </w:t>
      </w:r>
      <w:r w:rsidRPr="00D176D9">
        <w:rPr>
          <w:i/>
          <w:lang w:val="tr-TR"/>
        </w:rPr>
        <w:t>Staphylococcus aureus</w:t>
      </w:r>
      <w:r w:rsidRPr="00D176D9">
        <w:rPr>
          <w:lang w:val="tr-TR"/>
        </w:rPr>
        <w:t xml:space="preserve"> (penisilinaz üreten türler </w:t>
      </w:r>
      <w:proofErr w:type="gramStart"/>
      <w:r w:rsidRPr="00D176D9">
        <w:rPr>
          <w:lang w:val="tr-TR"/>
        </w:rPr>
        <w:t>dahil</w:t>
      </w:r>
      <w:proofErr w:type="gramEnd"/>
      <w:r w:rsidRPr="00D176D9">
        <w:rPr>
          <w:lang w:val="tr-TR"/>
        </w:rPr>
        <w:t xml:space="preserve">, metisiline dirençli türler hariç), </w:t>
      </w:r>
      <w:r w:rsidRPr="00D176D9">
        <w:rPr>
          <w:i/>
          <w:lang w:val="tr-TR"/>
        </w:rPr>
        <w:t>Staphylococcus epidermidis</w:t>
      </w:r>
      <w:r w:rsidRPr="00D176D9">
        <w:rPr>
          <w:lang w:val="tr-TR"/>
        </w:rPr>
        <w:t xml:space="preserve"> (penisilinaz üreten türler dahil, metisiline dirençli türler hariç), </w:t>
      </w:r>
      <w:r w:rsidRPr="00D176D9">
        <w:rPr>
          <w:i/>
          <w:lang w:val="tr-TR"/>
        </w:rPr>
        <w:t>Streptococcus pneumoniae, Streptococcus pyogenes</w:t>
      </w:r>
      <w:r w:rsidRPr="00D176D9">
        <w:rPr>
          <w:lang w:val="tr-TR"/>
        </w:rPr>
        <w:t xml:space="preserve"> (ve diğer beta-hemolitik streptokoklar), </w:t>
      </w:r>
      <w:r w:rsidRPr="00D176D9">
        <w:rPr>
          <w:i/>
          <w:lang w:val="tr-TR"/>
        </w:rPr>
        <w:t>Streptococcus grup B</w:t>
      </w:r>
      <w:r w:rsidRPr="00D176D9">
        <w:rPr>
          <w:lang w:val="tr-TR"/>
        </w:rPr>
        <w:t xml:space="preserve"> (Streptococcus agalactiae), </w:t>
      </w:r>
      <w:r w:rsidRPr="00D176D9">
        <w:rPr>
          <w:i/>
          <w:lang w:val="tr-TR"/>
        </w:rPr>
        <w:t>Bordatella pertussis,</w:t>
      </w:r>
      <w:r w:rsidRPr="00D176D9">
        <w:rPr>
          <w:lang w:val="tr-TR"/>
        </w:rPr>
        <w:t xml:space="preserve"> </w:t>
      </w:r>
      <w:r w:rsidRPr="00D176D9">
        <w:rPr>
          <w:i/>
          <w:lang w:val="tr-TR"/>
        </w:rPr>
        <w:t>Streptococcus mitis</w:t>
      </w:r>
      <w:r w:rsidRPr="00D176D9">
        <w:rPr>
          <w:lang w:val="tr-TR"/>
        </w:rPr>
        <w:t xml:space="preserve"> (viridans grup).</w:t>
      </w:r>
    </w:p>
    <w:p w:rsidR="00C0016F" w:rsidRPr="00D176D9" w:rsidRDefault="00C0016F" w:rsidP="00C0016F">
      <w:pPr>
        <w:spacing w:line="360" w:lineRule="auto"/>
        <w:ind w:right="-662"/>
        <w:jc w:val="both"/>
        <w:rPr>
          <w:lang w:val="tr-TR"/>
        </w:rPr>
      </w:pPr>
      <w:r w:rsidRPr="00D176D9">
        <w:rPr>
          <w:b/>
          <w:lang w:val="tr-TR"/>
        </w:rPr>
        <w:t>Anaerob mikroorganizmalar:</w:t>
      </w:r>
      <w:r w:rsidRPr="00D176D9">
        <w:rPr>
          <w:lang w:val="tr-TR"/>
        </w:rPr>
        <w:t xml:space="preserve"> Gram-pozitif ve Gram-negatif koklar (</w:t>
      </w:r>
      <w:r w:rsidRPr="00D176D9">
        <w:rPr>
          <w:i/>
          <w:lang w:val="tr-TR"/>
        </w:rPr>
        <w:t xml:space="preserve">Peptococcus ve Peptostreptococcus </w:t>
      </w:r>
      <w:r w:rsidRPr="00D176D9">
        <w:rPr>
          <w:lang w:val="tr-TR"/>
        </w:rPr>
        <w:t xml:space="preserve">türleri </w:t>
      </w:r>
      <w:proofErr w:type="gramStart"/>
      <w:r w:rsidRPr="00D176D9">
        <w:rPr>
          <w:lang w:val="tr-TR"/>
        </w:rPr>
        <w:t>dahil</w:t>
      </w:r>
      <w:proofErr w:type="gramEnd"/>
      <w:r w:rsidRPr="00D176D9">
        <w:rPr>
          <w:lang w:val="tr-TR"/>
        </w:rPr>
        <w:t>), Gram-pozitif basiller (</w:t>
      </w:r>
      <w:r w:rsidRPr="00D176D9">
        <w:rPr>
          <w:i/>
          <w:lang w:val="tr-TR"/>
        </w:rPr>
        <w:t>Clostridium</w:t>
      </w:r>
      <w:r w:rsidRPr="00D176D9">
        <w:rPr>
          <w:lang w:val="tr-TR"/>
        </w:rPr>
        <w:t xml:space="preserve"> türleri dahil), Gram-negatif basiller (</w:t>
      </w:r>
      <w:r w:rsidRPr="00D176D9">
        <w:rPr>
          <w:i/>
          <w:lang w:val="tr-TR"/>
        </w:rPr>
        <w:t>Bacteroides ve Fusobacterium</w:t>
      </w:r>
      <w:r w:rsidRPr="00D176D9">
        <w:rPr>
          <w:lang w:val="tr-TR"/>
        </w:rPr>
        <w:t xml:space="preserve"> türleri dahil), </w:t>
      </w:r>
      <w:r w:rsidRPr="00D176D9">
        <w:rPr>
          <w:i/>
          <w:lang w:val="tr-TR"/>
        </w:rPr>
        <w:t>Propionibacterium</w:t>
      </w:r>
      <w:r w:rsidRPr="00D176D9">
        <w:rPr>
          <w:lang w:val="tr-TR"/>
        </w:rPr>
        <w:t xml:space="preserve"> türleri. </w:t>
      </w:r>
    </w:p>
    <w:p w:rsidR="00C0016F" w:rsidRPr="00D176D9" w:rsidRDefault="00C0016F" w:rsidP="00C0016F">
      <w:pPr>
        <w:spacing w:line="360" w:lineRule="auto"/>
        <w:ind w:right="-662"/>
        <w:jc w:val="both"/>
        <w:rPr>
          <w:lang w:val="tr-TR"/>
        </w:rPr>
      </w:pPr>
      <w:r w:rsidRPr="00D176D9">
        <w:rPr>
          <w:b/>
          <w:lang w:val="tr-TR"/>
        </w:rPr>
        <w:t>Diğer organizmalar:</w:t>
      </w:r>
      <w:r w:rsidRPr="00D176D9">
        <w:rPr>
          <w:lang w:val="tr-TR"/>
        </w:rPr>
        <w:t xml:space="preserve"> </w:t>
      </w:r>
      <w:r w:rsidRPr="00D176D9">
        <w:rPr>
          <w:i/>
          <w:lang w:val="tr-TR"/>
        </w:rPr>
        <w:t>Borrelia burgdorferi.</w:t>
      </w:r>
      <w:r w:rsidRPr="00D176D9">
        <w:rPr>
          <w:lang w:val="tr-TR"/>
        </w:rPr>
        <w:t xml:space="preserve"> </w:t>
      </w:r>
    </w:p>
    <w:p w:rsidR="00542BDC" w:rsidRPr="00D176D9" w:rsidRDefault="00542BDC" w:rsidP="00C0016F">
      <w:pPr>
        <w:spacing w:line="360" w:lineRule="auto"/>
        <w:ind w:right="-662"/>
        <w:jc w:val="both"/>
        <w:rPr>
          <w:lang w:val="tr-TR"/>
        </w:rPr>
      </w:pPr>
    </w:p>
    <w:p w:rsidR="00C0016F" w:rsidRPr="00D176D9" w:rsidRDefault="00C0016F" w:rsidP="00C0016F">
      <w:pPr>
        <w:spacing w:line="360" w:lineRule="auto"/>
        <w:ind w:right="-662"/>
        <w:jc w:val="both"/>
        <w:rPr>
          <w:b/>
          <w:lang w:val="tr-TR"/>
        </w:rPr>
      </w:pPr>
      <w:r w:rsidRPr="00D176D9">
        <w:rPr>
          <w:b/>
          <w:lang w:val="tr-TR"/>
        </w:rPr>
        <w:t>Aşağıdaki türlerin bazı suşları sefuroksime duyarlı değildir:</w:t>
      </w:r>
    </w:p>
    <w:p w:rsidR="00C0016F" w:rsidRPr="00D176D9" w:rsidRDefault="00C0016F" w:rsidP="00C0016F">
      <w:pPr>
        <w:spacing w:line="360" w:lineRule="auto"/>
        <w:ind w:right="-662"/>
        <w:jc w:val="both"/>
        <w:rPr>
          <w:i/>
          <w:lang w:val="tr-TR"/>
        </w:rPr>
      </w:pPr>
      <w:r w:rsidRPr="00D176D9">
        <w:rPr>
          <w:i/>
          <w:lang w:val="tr-TR"/>
        </w:rPr>
        <w:t xml:space="preserve">Streptococcus faecalis, Morganella morganii, Proteus vulgaris, Enterobacter türleri, Citrobacter türleri, Serratia türleri, Bacteroides fragilis. </w:t>
      </w:r>
    </w:p>
    <w:p w:rsidR="00C0016F" w:rsidRPr="00D176D9" w:rsidRDefault="00C0016F" w:rsidP="00C0016F">
      <w:pPr>
        <w:spacing w:line="360" w:lineRule="auto"/>
        <w:ind w:right="-662"/>
        <w:jc w:val="both"/>
        <w:rPr>
          <w:b/>
          <w:lang w:val="tr-TR"/>
        </w:rPr>
      </w:pPr>
      <w:r w:rsidRPr="00D176D9">
        <w:rPr>
          <w:b/>
          <w:lang w:val="tr-TR"/>
        </w:rPr>
        <w:t xml:space="preserve">Aşağıdaki organizmalar sefuroksime duyarlı değildir: </w:t>
      </w:r>
    </w:p>
    <w:p w:rsidR="00C0016F" w:rsidRPr="00D176D9" w:rsidRDefault="00C0016F" w:rsidP="00C0016F">
      <w:pPr>
        <w:spacing w:line="360" w:lineRule="auto"/>
        <w:ind w:right="-662"/>
        <w:jc w:val="both"/>
        <w:rPr>
          <w:lang w:val="tr-TR"/>
        </w:rPr>
      </w:pPr>
      <w:r w:rsidRPr="00D176D9">
        <w:rPr>
          <w:i/>
          <w:lang w:val="tr-TR"/>
        </w:rPr>
        <w:t>Clostridium difficile, Pseudomonas türleri, Campylobacter türleri, Acinetobacter calcoacetius,</w:t>
      </w:r>
      <w:r w:rsidRPr="00D176D9">
        <w:rPr>
          <w:lang w:val="tr-TR"/>
        </w:rPr>
        <w:t xml:space="preserve"> </w:t>
      </w:r>
      <w:r w:rsidRPr="00D176D9">
        <w:rPr>
          <w:i/>
          <w:lang w:val="tr-TR"/>
        </w:rPr>
        <w:t>Listeria monocytogenes, Legionella türleri, metisiline dirençli Staphylococcus aureus, metisiline dirençli Staphylococcus epidermidis.</w:t>
      </w:r>
      <w:r w:rsidRPr="00D176D9">
        <w:rPr>
          <w:lang w:val="tr-TR"/>
        </w:rPr>
        <w:t xml:space="preserve"> </w:t>
      </w:r>
    </w:p>
    <w:p w:rsidR="00C0016F" w:rsidRPr="00D176D9" w:rsidRDefault="00C0016F" w:rsidP="00C0016F">
      <w:pPr>
        <w:spacing w:line="360" w:lineRule="auto"/>
        <w:ind w:right="-662"/>
        <w:jc w:val="both"/>
        <w:rPr>
          <w:lang w:val="tr-TR"/>
        </w:rPr>
      </w:pPr>
      <w:r w:rsidRPr="00D176D9">
        <w:rPr>
          <w:lang w:val="tr-TR"/>
        </w:rPr>
        <w:t xml:space="preserve">CEFAKS Enjektabl ve aminoglikozid antibiyotiklerinin in vitro aktiviteleri </w:t>
      </w:r>
      <w:proofErr w:type="gramStart"/>
      <w:r w:rsidRPr="00D176D9">
        <w:rPr>
          <w:lang w:val="tr-TR"/>
        </w:rPr>
        <w:t>kombinasyonda</w:t>
      </w:r>
      <w:proofErr w:type="gramEnd"/>
      <w:r w:rsidRPr="00D176D9">
        <w:rPr>
          <w:lang w:val="tr-TR"/>
        </w:rPr>
        <w:t xml:space="preserve"> en azından additif ve bazen sinerjik etki gösterir.</w:t>
      </w:r>
    </w:p>
    <w:p w:rsidR="00C0016F" w:rsidRPr="00D176D9" w:rsidRDefault="00C0016F" w:rsidP="00C0016F">
      <w:pPr>
        <w:spacing w:line="360" w:lineRule="auto"/>
        <w:jc w:val="both"/>
        <w:rPr>
          <w:b/>
          <w:bCs/>
          <w:lang w:val="tr-TR"/>
        </w:rPr>
      </w:pPr>
    </w:p>
    <w:p w:rsidR="00C0016F" w:rsidRPr="00D176D9" w:rsidRDefault="00C0016F" w:rsidP="00C0016F">
      <w:pPr>
        <w:spacing w:line="360" w:lineRule="auto"/>
        <w:jc w:val="both"/>
        <w:rPr>
          <w:b/>
          <w:bCs/>
          <w:lang w:val="tr-TR"/>
        </w:rPr>
      </w:pPr>
      <w:r w:rsidRPr="00D176D9">
        <w:rPr>
          <w:b/>
          <w:bCs/>
          <w:lang w:val="tr-TR"/>
        </w:rPr>
        <w:t xml:space="preserve">5.2 Farmakokinetik özellikler </w:t>
      </w:r>
    </w:p>
    <w:p w:rsidR="00C0016F" w:rsidRPr="00D176D9" w:rsidRDefault="00C0016F" w:rsidP="00C0016F">
      <w:pPr>
        <w:spacing w:line="360" w:lineRule="auto"/>
        <w:jc w:val="both"/>
        <w:rPr>
          <w:b/>
          <w:bCs/>
          <w:lang w:val="tr-TR"/>
        </w:rPr>
      </w:pPr>
      <w:r w:rsidRPr="00D176D9">
        <w:rPr>
          <w:b/>
          <w:bCs/>
          <w:lang w:val="tr-TR"/>
        </w:rPr>
        <w:t>Genel Özellikler</w:t>
      </w:r>
    </w:p>
    <w:p w:rsidR="00C0016F" w:rsidRPr="00D176D9" w:rsidRDefault="00C0016F" w:rsidP="00C0016F">
      <w:pPr>
        <w:autoSpaceDE w:val="0"/>
        <w:autoSpaceDN w:val="0"/>
        <w:adjustRightInd w:val="0"/>
        <w:spacing w:line="360" w:lineRule="auto"/>
        <w:rPr>
          <w:u w:val="single"/>
        </w:rPr>
      </w:pPr>
      <w:r w:rsidRPr="00D176D9">
        <w:rPr>
          <w:u w:val="single"/>
        </w:rPr>
        <w:t xml:space="preserve">Emilim: </w:t>
      </w:r>
    </w:p>
    <w:p w:rsidR="00C0016F" w:rsidRPr="00D176D9" w:rsidRDefault="00C0016F" w:rsidP="00C0016F">
      <w:pPr>
        <w:autoSpaceDE w:val="0"/>
        <w:autoSpaceDN w:val="0"/>
        <w:adjustRightInd w:val="0"/>
        <w:spacing w:line="360" w:lineRule="auto"/>
        <w:rPr>
          <w:lang w:val="tr-TR"/>
        </w:rPr>
      </w:pPr>
      <w:r w:rsidRPr="00D176D9">
        <w:rPr>
          <w:lang w:val="tr-TR"/>
        </w:rPr>
        <w:t xml:space="preserve">Sefuroksim intramüsküler uygulamayı takiben 30 ile 45 dakika içinde doruk düzeylere ulaşır. İntramüsküler veya intravenöz </w:t>
      </w:r>
      <w:proofErr w:type="gramStart"/>
      <w:r w:rsidRPr="00D176D9">
        <w:rPr>
          <w:lang w:val="tr-TR"/>
        </w:rPr>
        <w:t>enjeksiyon</w:t>
      </w:r>
      <w:proofErr w:type="gramEnd"/>
      <w:r w:rsidRPr="00D176D9">
        <w:rPr>
          <w:lang w:val="tr-TR"/>
        </w:rPr>
        <w:t xml:space="preserve"> sonrası serum yarı ömrü yaklaşık 70 dakikadır.</w:t>
      </w:r>
    </w:p>
    <w:p w:rsidR="00C0016F" w:rsidRPr="00D176D9" w:rsidRDefault="00C0016F" w:rsidP="00C0016F">
      <w:pPr>
        <w:spacing w:line="360" w:lineRule="auto"/>
        <w:rPr>
          <w:u w:val="single"/>
        </w:rPr>
      </w:pPr>
      <w:r w:rsidRPr="00D176D9">
        <w:rPr>
          <w:u w:val="single"/>
        </w:rPr>
        <w:t>Dağılım:</w:t>
      </w:r>
    </w:p>
    <w:p w:rsidR="00C0016F" w:rsidRPr="00D176D9" w:rsidRDefault="00C0016F" w:rsidP="00C0016F">
      <w:pPr>
        <w:spacing w:line="360" w:lineRule="auto"/>
        <w:jc w:val="both"/>
        <w:rPr>
          <w:lang w:val="tr-TR"/>
        </w:rPr>
      </w:pPr>
      <w:r w:rsidRPr="00D176D9">
        <w:rPr>
          <w:lang w:val="tr-TR"/>
        </w:rPr>
        <w:t>Kullanılan yönteme bağlı olarak proteinlere bağlanma oranı % 33-50'dir.</w:t>
      </w:r>
    </w:p>
    <w:p w:rsidR="00C0016F" w:rsidRPr="00D176D9" w:rsidRDefault="00C0016F" w:rsidP="00C0016F">
      <w:pPr>
        <w:spacing w:line="360" w:lineRule="auto"/>
        <w:jc w:val="both"/>
        <w:rPr>
          <w:lang w:val="tr-TR"/>
        </w:rPr>
      </w:pPr>
      <w:r w:rsidRPr="00D176D9">
        <w:rPr>
          <w:lang w:val="tr-TR"/>
        </w:rPr>
        <w:t xml:space="preserve">Sefuroksim intramüsküler uygulamayı takiben 30-45 dakika içinde doruk düzeylere ulaşır. </w:t>
      </w:r>
    </w:p>
    <w:p w:rsidR="00C0016F" w:rsidRPr="00D176D9" w:rsidRDefault="00C0016F" w:rsidP="00C0016F">
      <w:pPr>
        <w:spacing w:line="360" w:lineRule="auto"/>
        <w:jc w:val="both"/>
        <w:rPr>
          <w:lang w:val="tr-TR"/>
        </w:rPr>
      </w:pPr>
      <w:r w:rsidRPr="00D176D9">
        <w:rPr>
          <w:lang w:val="tr-TR"/>
        </w:rPr>
        <w:t xml:space="preserve">Kemik, sinovyal sıvı ve aköz hümörde genel patojenler için minimum inhibitör düzeylerinin üstündeki </w:t>
      </w:r>
      <w:proofErr w:type="gramStart"/>
      <w:r w:rsidRPr="00D176D9">
        <w:rPr>
          <w:lang w:val="tr-TR"/>
        </w:rPr>
        <w:t>konsantrasyonlara</w:t>
      </w:r>
      <w:proofErr w:type="gramEnd"/>
      <w:r w:rsidRPr="00D176D9">
        <w:rPr>
          <w:lang w:val="tr-TR"/>
        </w:rPr>
        <w:t xml:space="preserve"> ulaşabilir. Sefuroksim meninksler iltihaplı olduğunda, kan beyin bariyerini geçer. Plasentayı geçtiği bilinmektedir.</w:t>
      </w:r>
    </w:p>
    <w:p w:rsidR="00C0016F" w:rsidRPr="00D176D9" w:rsidRDefault="00C0016F" w:rsidP="00C0016F">
      <w:pPr>
        <w:spacing w:line="360" w:lineRule="auto"/>
      </w:pPr>
      <w:r w:rsidRPr="00D176D9">
        <w:rPr>
          <w:u w:val="single"/>
        </w:rPr>
        <w:t>Biyotransformasyon:</w:t>
      </w:r>
    </w:p>
    <w:p w:rsidR="00C0016F" w:rsidRPr="00D176D9" w:rsidRDefault="00C0016F" w:rsidP="00C0016F">
      <w:pPr>
        <w:spacing w:line="360" w:lineRule="auto"/>
        <w:rPr>
          <w:b/>
          <w:u w:val="single"/>
        </w:rPr>
      </w:pPr>
      <w:r w:rsidRPr="00D176D9">
        <w:rPr>
          <w:lang w:val="tr-TR"/>
        </w:rPr>
        <w:t>Sefuroksim metabolize olmaz,</w:t>
      </w:r>
    </w:p>
    <w:p w:rsidR="00C0016F" w:rsidRPr="00D176D9" w:rsidRDefault="00C0016F" w:rsidP="00C0016F">
      <w:pPr>
        <w:spacing w:line="360" w:lineRule="auto"/>
        <w:rPr>
          <w:u w:val="single"/>
        </w:rPr>
      </w:pPr>
      <w:r w:rsidRPr="00D176D9">
        <w:rPr>
          <w:u w:val="single"/>
        </w:rPr>
        <w:t xml:space="preserve">Eliminasyon: </w:t>
      </w:r>
    </w:p>
    <w:p w:rsidR="00C0016F" w:rsidRPr="00D176D9" w:rsidRDefault="00C0016F" w:rsidP="00C0016F">
      <w:pPr>
        <w:spacing w:line="360" w:lineRule="auto"/>
        <w:jc w:val="both"/>
        <w:rPr>
          <w:lang w:val="tr-TR"/>
        </w:rPr>
      </w:pPr>
      <w:r w:rsidRPr="00D176D9">
        <w:rPr>
          <w:lang w:val="tr-TR"/>
        </w:rPr>
        <w:t xml:space="preserve">İntramüsküler </w:t>
      </w:r>
      <w:proofErr w:type="gramStart"/>
      <w:r w:rsidRPr="00D176D9">
        <w:rPr>
          <w:lang w:val="tr-TR"/>
        </w:rPr>
        <w:t>enjeksiyon</w:t>
      </w:r>
      <w:proofErr w:type="gramEnd"/>
      <w:r w:rsidRPr="00D176D9">
        <w:rPr>
          <w:lang w:val="tr-TR"/>
        </w:rPr>
        <w:t xml:space="preserve"> sonrası serum yarı ömrü yaklaşık 70 dakikadır. Yaklaşık olarak %50 oranında tubüler sekresyon ve  %50 oranında glomerüler filtrasyon ile atılır. Büyük bir bölümü ilk 6 saatte elimine olarak, 24 saat içinde verilen ilacın hemen hemen tamamı (% 85-90'ı) değişmeden idrarla atılır. </w:t>
      </w:r>
    </w:p>
    <w:p w:rsidR="00C0016F" w:rsidRPr="00D176D9" w:rsidRDefault="00C0016F" w:rsidP="00C0016F">
      <w:pPr>
        <w:autoSpaceDE w:val="0"/>
        <w:autoSpaceDN w:val="0"/>
        <w:adjustRightInd w:val="0"/>
        <w:spacing w:line="360" w:lineRule="auto"/>
        <w:rPr>
          <w:lang w:val="tr-TR" w:eastAsia="tr-TR"/>
        </w:rPr>
      </w:pPr>
      <w:r w:rsidRPr="00D176D9">
        <w:rPr>
          <w:u w:val="single"/>
          <w:lang w:val="tr-TR" w:eastAsia="tr-TR"/>
        </w:rPr>
        <w:t>Doğrusallık/Doğrusal Olmayan Durum:</w:t>
      </w:r>
      <w:r w:rsidRPr="00D176D9">
        <w:rPr>
          <w:lang w:val="tr-TR" w:eastAsia="tr-TR"/>
        </w:rPr>
        <w:t xml:space="preserve"> </w:t>
      </w:r>
    </w:p>
    <w:p w:rsidR="00C0016F" w:rsidRPr="00D176D9" w:rsidRDefault="00C0016F" w:rsidP="00C0016F">
      <w:pPr>
        <w:autoSpaceDE w:val="0"/>
        <w:autoSpaceDN w:val="0"/>
        <w:adjustRightInd w:val="0"/>
        <w:spacing w:line="360" w:lineRule="auto"/>
        <w:rPr>
          <w:lang w:val="tr-TR" w:eastAsia="tr-TR"/>
        </w:rPr>
      </w:pPr>
      <w:r w:rsidRPr="00D176D9">
        <w:rPr>
          <w:lang w:val="tr-TR" w:eastAsia="tr-TR"/>
        </w:rPr>
        <w:t>Yaşamın ilk haftalarında sefuroksim serum yarılanma ömrü yetişkinlerdekinin 3-5 katı olabilir. Probenesid ile birlikte verilmesi antibiyotiğin itrahını geciktirir ve yüksek serum düzeyleri oluşturur.</w:t>
      </w:r>
    </w:p>
    <w:p w:rsidR="00542BDC" w:rsidRPr="00D176D9" w:rsidRDefault="00542BDC" w:rsidP="00C0016F">
      <w:pPr>
        <w:spacing w:line="360" w:lineRule="auto"/>
        <w:jc w:val="both"/>
        <w:rPr>
          <w:b/>
        </w:rPr>
      </w:pPr>
    </w:p>
    <w:p w:rsidR="00C0016F" w:rsidRPr="00D176D9" w:rsidRDefault="00C0016F" w:rsidP="00C0016F">
      <w:pPr>
        <w:spacing w:line="360" w:lineRule="auto"/>
        <w:jc w:val="both"/>
        <w:rPr>
          <w:b/>
        </w:rPr>
      </w:pPr>
      <w:r w:rsidRPr="00D176D9">
        <w:rPr>
          <w:b/>
        </w:rPr>
        <w:t>5.3. Klinik öncesi güvenlilik verileri</w:t>
      </w:r>
    </w:p>
    <w:p w:rsidR="00C0016F" w:rsidRPr="00D176D9" w:rsidRDefault="00C0016F" w:rsidP="00C0016F">
      <w:pPr>
        <w:spacing w:line="360" w:lineRule="auto"/>
        <w:jc w:val="both"/>
        <w:rPr>
          <w:lang w:val="tr-TR"/>
        </w:rPr>
      </w:pPr>
      <w:r w:rsidRPr="00D176D9">
        <w:rPr>
          <w:lang w:val="tr-TR"/>
        </w:rPr>
        <w:t>Sefuroksime maruziyet sonrasında embriyopatik ve teratojenik etkilerin olduğuna dair hiçbir veri bulunmamaktadır.</w:t>
      </w:r>
    </w:p>
    <w:p w:rsidR="00C0016F" w:rsidRPr="00D176D9" w:rsidRDefault="00C0016F" w:rsidP="00C0016F">
      <w:pPr>
        <w:spacing w:line="360" w:lineRule="auto"/>
        <w:jc w:val="both"/>
        <w:rPr>
          <w:b/>
          <w:lang w:val="tr-TR"/>
        </w:rPr>
      </w:pPr>
    </w:p>
    <w:p w:rsidR="00C0016F" w:rsidRPr="00D176D9" w:rsidRDefault="00C0016F" w:rsidP="00C0016F">
      <w:pPr>
        <w:spacing w:line="360" w:lineRule="auto"/>
        <w:jc w:val="both"/>
        <w:rPr>
          <w:b/>
          <w:lang w:val="tr-TR"/>
        </w:rPr>
      </w:pPr>
      <w:r w:rsidRPr="00D176D9">
        <w:rPr>
          <w:b/>
          <w:lang w:val="tr-TR"/>
        </w:rPr>
        <w:t>6. FARMASÖTİK ÖZELLİKLER</w:t>
      </w:r>
    </w:p>
    <w:p w:rsidR="00C0016F" w:rsidRPr="00D176D9" w:rsidRDefault="00C0016F" w:rsidP="00C0016F">
      <w:pPr>
        <w:spacing w:line="360" w:lineRule="auto"/>
        <w:jc w:val="both"/>
        <w:rPr>
          <w:b/>
          <w:lang w:val="tr-TR"/>
        </w:rPr>
      </w:pPr>
      <w:r w:rsidRPr="00D176D9">
        <w:rPr>
          <w:b/>
          <w:bCs/>
          <w:lang w:val="tr-TR"/>
        </w:rPr>
        <w:t>6.1 Yardımcı maddelerin listesi</w:t>
      </w:r>
    </w:p>
    <w:p w:rsidR="00C0016F" w:rsidRPr="00D176D9" w:rsidRDefault="00C0016F" w:rsidP="00C0016F">
      <w:pPr>
        <w:spacing w:line="360" w:lineRule="auto"/>
        <w:jc w:val="both"/>
        <w:rPr>
          <w:i/>
          <w:lang w:val="tr-TR"/>
        </w:rPr>
      </w:pPr>
      <w:r w:rsidRPr="00D176D9">
        <w:rPr>
          <w:i/>
          <w:lang w:val="tr-TR"/>
        </w:rPr>
        <w:t>Çözücü Ampul:</w:t>
      </w:r>
    </w:p>
    <w:p w:rsidR="00C0016F" w:rsidRPr="00D176D9" w:rsidRDefault="00C0016F" w:rsidP="00C0016F">
      <w:pPr>
        <w:spacing w:line="360" w:lineRule="auto"/>
        <w:jc w:val="both"/>
        <w:rPr>
          <w:lang w:val="tr-TR"/>
        </w:rPr>
      </w:pPr>
      <w:r w:rsidRPr="00D176D9">
        <w:rPr>
          <w:lang w:val="tr-TR"/>
        </w:rPr>
        <w:t>Sodyum Hidroksit</w:t>
      </w:r>
    </w:p>
    <w:p w:rsidR="00C0016F" w:rsidRPr="00D176D9" w:rsidRDefault="00C0016F" w:rsidP="00C0016F">
      <w:pPr>
        <w:spacing w:line="360" w:lineRule="auto"/>
        <w:jc w:val="both"/>
        <w:rPr>
          <w:lang w:val="tr-TR"/>
        </w:rPr>
      </w:pPr>
      <w:r w:rsidRPr="00D176D9">
        <w:rPr>
          <w:lang w:val="tr-TR"/>
        </w:rPr>
        <w:t>Enjeksiyonluk su</w:t>
      </w:r>
    </w:p>
    <w:p w:rsidR="00474227" w:rsidRPr="00D176D9" w:rsidRDefault="00474227" w:rsidP="00C0016F">
      <w:pPr>
        <w:spacing w:line="360" w:lineRule="auto"/>
        <w:jc w:val="both"/>
        <w:rPr>
          <w:b/>
          <w:bCs/>
          <w:lang w:val="tr-TR"/>
        </w:rPr>
      </w:pPr>
    </w:p>
    <w:p w:rsidR="00C0016F" w:rsidRPr="00D176D9" w:rsidRDefault="00C0016F" w:rsidP="00C0016F">
      <w:pPr>
        <w:spacing w:line="360" w:lineRule="auto"/>
        <w:jc w:val="both"/>
        <w:rPr>
          <w:lang w:val="tr-TR"/>
        </w:rPr>
      </w:pPr>
      <w:r w:rsidRPr="00D176D9">
        <w:rPr>
          <w:b/>
          <w:bCs/>
          <w:lang w:val="tr-TR"/>
        </w:rPr>
        <w:t>6.2 Geçimsizlikler</w:t>
      </w:r>
    </w:p>
    <w:p w:rsidR="00C0016F" w:rsidRPr="00D176D9" w:rsidRDefault="00C0016F" w:rsidP="00C0016F">
      <w:pPr>
        <w:overflowPunct w:val="0"/>
        <w:autoSpaceDE w:val="0"/>
        <w:autoSpaceDN w:val="0"/>
        <w:adjustRightInd w:val="0"/>
        <w:spacing w:line="360" w:lineRule="auto"/>
        <w:textAlignment w:val="baseline"/>
        <w:rPr>
          <w:lang w:val="tr-TR"/>
        </w:rPr>
      </w:pPr>
      <w:r w:rsidRPr="00D176D9">
        <w:rPr>
          <w:lang w:val="tr-TR"/>
        </w:rPr>
        <w:t>C</w:t>
      </w:r>
      <w:r w:rsidR="00474227" w:rsidRPr="00D176D9">
        <w:rPr>
          <w:lang w:val="tr-TR"/>
        </w:rPr>
        <w:t>EFAK</w:t>
      </w:r>
      <w:r w:rsidR="003C1FDF" w:rsidRPr="00D176D9">
        <w:rPr>
          <w:lang w:val="tr-TR"/>
        </w:rPr>
        <w:t>S</w:t>
      </w:r>
      <w:r w:rsidRPr="00D176D9">
        <w:rPr>
          <w:lang w:val="tr-TR"/>
        </w:rPr>
        <w:t xml:space="preserve"> aminoglikozid grubu antibiyotiklerle aynı enjektöre çekilmemelidir.</w:t>
      </w:r>
    </w:p>
    <w:p w:rsidR="00C0016F" w:rsidRPr="00D176D9" w:rsidRDefault="00C0016F" w:rsidP="00C0016F">
      <w:pPr>
        <w:overflowPunct w:val="0"/>
        <w:autoSpaceDE w:val="0"/>
        <w:autoSpaceDN w:val="0"/>
        <w:adjustRightInd w:val="0"/>
        <w:spacing w:line="360" w:lineRule="auto"/>
        <w:textAlignment w:val="baseline"/>
        <w:rPr>
          <w:lang w:val="tr-TR"/>
        </w:rPr>
      </w:pPr>
    </w:p>
    <w:p w:rsidR="00C0016F" w:rsidRPr="00D176D9" w:rsidRDefault="00C0016F" w:rsidP="00C0016F">
      <w:pPr>
        <w:spacing w:line="360" w:lineRule="auto"/>
        <w:jc w:val="both"/>
        <w:rPr>
          <w:b/>
          <w:bCs/>
          <w:lang w:val="tr-TR"/>
        </w:rPr>
      </w:pPr>
      <w:r w:rsidRPr="00D176D9">
        <w:rPr>
          <w:b/>
          <w:bCs/>
          <w:lang w:val="tr-TR"/>
        </w:rPr>
        <w:t>6.3 Raf ömrü</w:t>
      </w:r>
    </w:p>
    <w:p w:rsidR="00C0016F" w:rsidRPr="00D176D9" w:rsidRDefault="00C0016F" w:rsidP="00C0016F">
      <w:pPr>
        <w:spacing w:line="360" w:lineRule="auto"/>
        <w:rPr>
          <w:lang w:val="tr-TR"/>
        </w:rPr>
      </w:pPr>
      <w:r w:rsidRPr="00D176D9">
        <w:rPr>
          <w:lang w:val="tr-TR"/>
        </w:rPr>
        <w:t>24 ay</w:t>
      </w:r>
    </w:p>
    <w:p w:rsidR="00C25C2C" w:rsidRPr="00D176D9" w:rsidRDefault="00C25C2C" w:rsidP="00C0016F">
      <w:pPr>
        <w:spacing w:line="360" w:lineRule="auto"/>
        <w:rPr>
          <w:lang w:val="tr-TR"/>
        </w:rPr>
      </w:pPr>
    </w:p>
    <w:p w:rsidR="00C0016F" w:rsidRPr="00D176D9" w:rsidRDefault="00C0016F" w:rsidP="00C0016F">
      <w:pPr>
        <w:spacing w:line="360" w:lineRule="auto"/>
        <w:jc w:val="both"/>
        <w:rPr>
          <w:lang w:val="tr-TR"/>
        </w:rPr>
      </w:pPr>
      <w:r w:rsidRPr="00D176D9">
        <w:rPr>
          <w:b/>
          <w:bCs/>
          <w:lang w:val="tr-TR"/>
        </w:rPr>
        <w:t>6.4 Saklamaya yönelik özel uyarılar</w:t>
      </w:r>
    </w:p>
    <w:p w:rsidR="00474227" w:rsidRPr="00D176D9" w:rsidRDefault="00474227" w:rsidP="00474227">
      <w:pPr>
        <w:spacing w:line="360" w:lineRule="auto"/>
        <w:jc w:val="both"/>
        <w:rPr>
          <w:lang w:val="tr-TR"/>
        </w:rPr>
      </w:pPr>
      <w:r w:rsidRPr="00D176D9">
        <w:rPr>
          <w:lang w:val="tr-TR"/>
        </w:rPr>
        <w:t>Kuru toz olarak 25º C’nin altındaki oda sıcaklığında ve ambalajında ışıktan koruyarak 24 ay saklanır.</w:t>
      </w:r>
    </w:p>
    <w:p w:rsidR="00474227" w:rsidRPr="00D176D9" w:rsidRDefault="00474227" w:rsidP="00474227">
      <w:pPr>
        <w:spacing w:line="360" w:lineRule="auto"/>
        <w:jc w:val="both"/>
        <w:rPr>
          <w:lang w:val="tr-TR"/>
        </w:rPr>
      </w:pPr>
    </w:p>
    <w:p w:rsidR="00474227" w:rsidRPr="00D176D9" w:rsidRDefault="00474227" w:rsidP="00474227">
      <w:pPr>
        <w:spacing w:line="360" w:lineRule="auto"/>
        <w:jc w:val="both"/>
        <w:rPr>
          <w:lang w:val="tr-TR"/>
        </w:rPr>
      </w:pPr>
      <w:r w:rsidRPr="00D176D9">
        <w:rPr>
          <w:lang w:val="tr-TR"/>
        </w:rPr>
        <w:t>Sulandırıldıktan sonra 25 ºC’nin altındaki oda sıcaklığında sak</w:t>
      </w:r>
      <w:r w:rsidR="0007317C" w:rsidRPr="00D176D9">
        <w:rPr>
          <w:lang w:val="tr-TR"/>
        </w:rPr>
        <w:t>lanırsa 24 saat ve soğukta (2-8</w:t>
      </w:r>
      <w:r w:rsidRPr="00D176D9">
        <w:rPr>
          <w:lang w:val="tr-TR"/>
        </w:rPr>
        <w:t xml:space="preserve"> ºC</w:t>
      </w:r>
      <w:r w:rsidR="0007317C" w:rsidRPr="00D176D9">
        <w:rPr>
          <w:lang w:val="tr-TR"/>
        </w:rPr>
        <w:t>)</w:t>
      </w:r>
      <w:r w:rsidRPr="00D176D9">
        <w:rPr>
          <w:lang w:val="tr-TR"/>
        </w:rPr>
        <w:t xml:space="preserve"> saklanırsa 48 saat süreyle etkinliğini korur.</w:t>
      </w:r>
    </w:p>
    <w:p w:rsidR="00474227" w:rsidRPr="00D176D9" w:rsidRDefault="00474227" w:rsidP="00C0016F">
      <w:pPr>
        <w:spacing w:line="360" w:lineRule="auto"/>
        <w:jc w:val="both"/>
        <w:rPr>
          <w:b/>
          <w:bCs/>
          <w:lang w:val="tr-TR"/>
        </w:rPr>
      </w:pPr>
    </w:p>
    <w:p w:rsidR="00C0016F" w:rsidRPr="00D176D9" w:rsidRDefault="00C0016F" w:rsidP="00C0016F">
      <w:pPr>
        <w:spacing w:line="360" w:lineRule="auto"/>
        <w:jc w:val="both"/>
        <w:rPr>
          <w:lang w:val="tr-TR"/>
        </w:rPr>
      </w:pPr>
      <w:r w:rsidRPr="00D176D9">
        <w:rPr>
          <w:b/>
          <w:bCs/>
          <w:lang w:val="tr-TR"/>
        </w:rPr>
        <w:t xml:space="preserve">6.5 Ambalajın niteliği ve içeriği </w:t>
      </w:r>
    </w:p>
    <w:p w:rsidR="00474227" w:rsidRPr="00D176D9" w:rsidRDefault="00474227" w:rsidP="00474227">
      <w:pPr>
        <w:spacing w:line="360" w:lineRule="auto"/>
        <w:jc w:val="both"/>
        <w:rPr>
          <w:lang w:val="tr-TR"/>
        </w:rPr>
      </w:pPr>
      <w:r w:rsidRPr="00D176D9">
        <w:rPr>
          <w:lang w:val="tr-TR"/>
        </w:rPr>
        <w:t xml:space="preserve">Kutuda, primer ambalaj malzemesi olarak; bromobutil kauçuk tıpa ve aluminyum emniyet çemberi ile </w:t>
      </w:r>
      <w:proofErr w:type="gramStart"/>
      <w:r w:rsidRPr="00D176D9">
        <w:rPr>
          <w:lang w:val="tr-TR"/>
        </w:rPr>
        <w:t>kapatılmış  8</w:t>
      </w:r>
      <w:proofErr w:type="gramEnd"/>
      <w:r w:rsidRPr="00D176D9">
        <w:rPr>
          <w:lang w:val="tr-TR"/>
        </w:rPr>
        <w:t xml:space="preserve"> mL’lik renksiz (Tip III) cam flakonda toz ve 2 ml %1 Lidokain HCl çözeltisi içeren 2 mL’lik halkalı, renksiz, (Tip I) cam ampulde çözücü.</w:t>
      </w:r>
    </w:p>
    <w:p w:rsidR="00474227" w:rsidRPr="00D176D9" w:rsidRDefault="00474227" w:rsidP="00474227">
      <w:pPr>
        <w:spacing w:line="360" w:lineRule="auto"/>
        <w:jc w:val="both"/>
        <w:rPr>
          <w:lang w:val="tr-TR"/>
        </w:rPr>
      </w:pPr>
      <w:r w:rsidRPr="00D176D9">
        <w:rPr>
          <w:lang w:val="tr-TR"/>
        </w:rPr>
        <w:t xml:space="preserve">Her bir karton kutu; 1 adet flakon, 1 adet çözücü ampul ile kullanma talimatı içermektedir. </w:t>
      </w:r>
    </w:p>
    <w:p w:rsidR="00C0016F" w:rsidRPr="00D176D9" w:rsidRDefault="00C0016F" w:rsidP="00C0016F">
      <w:pPr>
        <w:spacing w:line="360" w:lineRule="auto"/>
        <w:jc w:val="both"/>
        <w:rPr>
          <w:b/>
          <w:bCs/>
          <w:lang w:val="tr-TR"/>
        </w:rPr>
      </w:pPr>
    </w:p>
    <w:p w:rsidR="00C0016F" w:rsidRPr="00D176D9" w:rsidRDefault="00C0016F" w:rsidP="00C0016F">
      <w:pPr>
        <w:spacing w:line="360" w:lineRule="auto"/>
        <w:jc w:val="both"/>
        <w:rPr>
          <w:lang w:val="tr-TR"/>
        </w:rPr>
      </w:pPr>
      <w:r w:rsidRPr="00D176D9">
        <w:rPr>
          <w:b/>
          <w:bCs/>
          <w:lang w:val="tr-TR"/>
        </w:rPr>
        <w:t>6.6 Beşeri tıbbi üründen arta kalan maddelerin imhası ve diğer özel önlemler</w:t>
      </w:r>
    </w:p>
    <w:p w:rsidR="00C0016F" w:rsidRPr="00D176D9" w:rsidRDefault="00C0016F" w:rsidP="00C0016F">
      <w:pPr>
        <w:autoSpaceDE w:val="0"/>
        <w:autoSpaceDN w:val="0"/>
        <w:adjustRightInd w:val="0"/>
        <w:spacing w:line="360" w:lineRule="auto"/>
        <w:jc w:val="both"/>
        <w:rPr>
          <w:rFonts w:eastAsia="TimesNewRoman"/>
        </w:rPr>
      </w:pPr>
      <w:r w:rsidRPr="00D176D9">
        <w:rPr>
          <w:rFonts w:eastAsia="TimesNewRoman"/>
        </w:rPr>
        <w:t>Geçerli olduğu taktirde kullanılmamış olan ürünler ya da atık materyaller ‘Tıbbi atıkların kontrolü yönetmeliği’ ve ‘Ambalaj ve Ambalaj Atıklarının Kontrolü yönetmelikleri’ ne uygun</w:t>
      </w:r>
    </w:p>
    <w:p w:rsidR="00C0016F" w:rsidRPr="00D176D9" w:rsidRDefault="00917619" w:rsidP="00C0016F">
      <w:pPr>
        <w:autoSpaceDE w:val="0"/>
        <w:autoSpaceDN w:val="0"/>
        <w:adjustRightInd w:val="0"/>
        <w:spacing w:line="360" w:lineRule="auto"/>
        <w:jc w:val="both"/>
        <w:rPr>
          <w:rFonts w:eastAsia="TimesNewRoman"/>
        </w:rPr>
      </w:pPr>
      <w:r w:rsidRPr="00D176D9">
        <w:rPr>
          <w:rFonts w:eastAsia="TimesNewRoman"/>
        </w:rPr>
        <w:t>olarak imha edilmelidir.</w:t>
      </w:r>
    </w:p>
    <w:p w:rsidR="00C0016F" w:rsidRPr="00D176D9" w:rsidRDefault="00C0016F" w:rsidP="00C0016F">
      <w:pPr>
        <w:tabs>
          <w:tab w:val="left" w:pos="1305"/>
        </w:tabs>
        <w:spacing w:line="360" w:lineRule="auto"/>
        <w:jc w:val="both"/>
        <w:rPr>
          <w:lang w:val="tr-TR"/>
        </w:rPr>
      </w:pPr>
      <w:r w:rsidRPr="00D176D9">
        <w:rPr>
          <w:b/>
          <w:lang w:val="tr-TR"/>
        </w:rPr>
        <w:t xml:space="preserve">7. RUHSAT SAHİBİ </w:t>
      </w:r>
    </w:p>
    <w:p w:rsidR="00C0016F" w:rsidRPr="00D176D9" w:rsidRDefault="00C0016F" w:rsidP="00C0016F">
      <w:pPr>
        <w:spacing w:line="360" w:lineRule="auto"/>
        <w:jc w:val="both"/>
        <w:rPr>
          <w:lang w:val="tr-TR"/>
        </w:rPr>
      </w:pPr>
      <w:r w:rsidRPr="00D176D9">
        <w:rPr>
          <w:lang w:val="tr-TR"/>
        </w:rPr>
        <w:t xml:space="preserve">Deva Holding A.Ş. </w:t>
      </w:r>
    </w:p>
    <w:p w:rsidR="00C0016F" w:rsidRPr="00D176D9" w:rsidRDefault="008F20B8" w:rsidP="00C0016F">
      <w:pPr>
        <w:spacing w:line="360" w:lineRule="auto"/>
        <w:jc w:val="both"/>
        <w:rPr>
          <w:lang w:val="tr-TR"/>
        </w:rPr>
      </w:pPr>
      <w:r w:rsidRPr="00D176D9">
        <w:rPr>
          <w:lang w:val="tr-TR"/>
        </w:rPr>
        <w:t>Halk</w:t>
      </w:r>
      <w:r w:rsidR="00D65236">
        <w:rPr>
          <w:lang w:val="tr-TR"/>
        </w:rPr>
        <w:t>alı Merkez Mah.</w:t>
      </w:r>
    </w:p>
    <w:p w:rsidR="00C0016F" w:rsidRPr="00D176D9" w:rsidRDefault="00C0016F" w:rsidP="00C0016F">
      <w:pPr>
        <w:spacing w:line="360" w:lineRule="auto"/>
        <w:jc w:val="both"/>
        <w:rPr>
          <w:lang w:val="tr-TR"/>
        </w:rPr>
      </w:pPr>
      <w:r w:rsidRPr="00D176D9">
        <w:rPr>
          <w:lang w:val="tr-TR"/>
        </w:rPr>
        <w:t xml:space="preserve">Basın Ekspres Cad. No.1 </w:t>
      </w:r>
    </w:p>
    <w:p w:rsidR="00C0016F" w:rsidRPr="00D176D9" w:rsidRDefault="008F20B8" w:rsidP="00C0016F">
      <w:pPr>
        <w:spacing w:line="360" w:lineRule="auto"/>
        <w:jc w:val="both"/>
        <w:rPr>
          <w:lang w:val="tr-TR"/>
        </w:rPr>
      </w:pPr>
      <w:r w:rsidRPr="00D176D9">
        <w:rPr>
          <w:lang w:val="tr-TR"/>
        </w:rPr>
        <w:t xml:space="preserve">34303 Küçükçekmece/İSTANBUL </w:t>
      </w:r>
    </w:p>
    <w:p w:rsidR="00474227" w:rsidRPr="00D176D9" w:rsidRDefault="00474227" w:rsidP="00C0016F">
      <w:pPr>
        <w:spacing w:line="360" w:lineRule="auto"/>
        <w:jc w:val="both"/>
        <w:rPr>
          <w:lang w:val="tr-TR"/>
        </w:rPr>
      </w:pPr>
    </w:p>
    <w:p w:rsidR="00C0016F" w:rsidRPr="00D176D9" w:rsidRDefault="00C0016F" w:rsidP="00C0016F">
      <w:pPr>
        <w:spacing w:line="360" w:lineRule="auto"/>
        <w:jc w:val="both"/>
        <w:rPr>
          <w:b/>
          <w:lang w:val="tr-TR"/>
        </w:rPr>
      </w:pPr>
      <w:r w:rsidRPr="00D176D9">
        <w:rPr>
          <w:b/>
          <w:lang w:val="tr-TR"/>
        </w:rPr>
        <w:t>8. RUHSAT NUMARASI</w:t>
      </w:r>
    </w:p>
    <w:p w:rsidR="00C0016F" w:rsidRPr="006A4124" w:rsidRDefault="006A4124" w:rsidP="00C0016F">
      <w:pPr>
        <w:spacing w:line="360" w:lineRule="auto"/>
        <w:jc w:val="both"/>
        <w:rPr>
          <w:rFonts w:eastAsia="TimesNewRoman"/>
          <w:lang w:val="tr-TR" w:eastAsia="tr-TR"/>
        </w:rPr>
      </w:pPr>
      <w:r w:rsidRPr="006A4124">
        <w:rPr>
          <w:rFonts w:eastAsia="TimesNewRoman"/>
          <w:lang w:val="tr-TR" w:eastAsia="tr-TR"/>
        </w:rPr>
        <w:t>249/18</w:t>
      </w:r>
    </w:p>
    <w:p w:rsidR="006A4124" w:rsidRPr="00D176D9" w:rsidRDefault="006A4124" w:rsidP="00C0016F">
      <w:pPr>
        <w:spacing w:line="360" w:lineRule="auto"/>
        <w:jc w:val="both"/>
        <w:rPr>
          <w:b/>
          <w:lang w:val="tr-TR"/>
        </w:rPr>
      </w:pPr>
    </w:p>
    <w:p w:rsidR="00C0016F" w:rsidRPr="00D176D9" w:rsidRDefault="00C0016F" w:rsidP="00C0016F">
      <w:pPr>
        <w:spacing w:line="360" w:lineRule="auto"/>
        <w:jc w:val="both"/>
        <w:rPr>
          <w:b/>
          <w:lang w:val="tr-TR"/>
        </w:rPr>
      </w:pPr>
      <w:r w:rsidRPr="00D176D9">
        <w:rPr>
          <w:b/>
          <w:lang w:val="tr-TR"/>
        </w:rPr>
        <w:t xml:space="preserve">9. İLK RUHSAT TARİHİ/ RUHSAT YENİLEME TARİHİ </w:t>
      </w:r>
    </w:p>
    <w:p w:rsidR="00C0016F" w:rsidRPr="00D176D9" w:rsidRDefault="00C0016F" w:rsidP="00C0016F">
      <w:pPr>
        <w:autoSpaceDE w:val="0"/>
        <w:autoSpaceDN w:val="0"/>
        <w:adjustRightInd w:val="0"/>
        <w:spacing w:line="360" w:lineRule="auto"/>
        <w:rPr>
          <w:rFonts w:eastAsia="TimesNewRoman"/>
          <w:lang w:val="tr-TR" w:eastAsia="tr-TR"/>
        </w:rPr>
      </w:pPr>
      <w:r w:rsidRPr="00D176D9">
        <w:rPr>
          <w:rFonts w:eastAsia="TimesNewRoman"/>
          <w:lang w:val="tr-TR" w:eastAsia="tr-TR"/>
        </w:rPr>
        <w:t>İlk ruhsat tarihi:</w:t>
      </w:r>
      <w:r w:rsidR="006A4124">
        <w:rPr>
          <w:rFonts w:eastAsia="TimesNewRoman"/>
          <w:lang w:val="tr-TR" w:eastAsia="tr-TR"/>
        </w:rPr>
        <w:t>14.03.2013</w:t>
      </w:r>
    </w:p>
    <w:p w:rsidR="00C0016F" w:rsidRPr="00D176D9" w:rsidRDefault="00C0016F" w:rsidP="00C0016F">
      <w:pPr>
        <w:spacing w:line="360" w:lineRule="auto"/>
        <w:jc w:val="both"/>
        <w:rPr>
          <w:rFonts w:eastAsia="TimesNewRoman"/>
          <w:lang w:val="tr-TR" w:eastAsia="tr-TR"/>
        </w:rPr>
      </w:pPr>
      <w:r w:rsidRPr="00D176D9">
        <w:rPr>
          <w:rFonts w:eastAsia="TimesNewRoman"/>
          <w:lang w:val="tr-TR" w:eastAsia="tr-TR"/>
        </w:rPr>
        <w:t>Ruhsat yenileme tarihi:</w:t>
      </w:r>
    </w:p>
    <w:p w:rsidR="00C0016F" w:rsidRPr="00D176D9" w:rsidRDefault="00C0016F" w:rsidP="00C0016F">
      <w:pPr>
        <w:spacing w:line="360" w:lineRule="auto"/>
        <w:jc w:val="both"/>
        <w:rPr>
          <w:b/>
          <w:lang w:val="tr-TR"/>
        </w:rPr>
      </w:pPr>
    </w:p>
    <w:p w:rsidR="00C0016F" w:rsidRPr="00D176D9" w:rsidRDefault="00C0016F" w:rsidP="00C0016F">
      <w:pPr>
        <w:spacing w:line="360" w:lineRule="auto"/>
        <w:jc w:val="both"/>
        <w:rPr>
          <w:lang w:val="tr-TR"/>
        </w:rPr>
      </w:pPr>
      <w:r w:rsidRPr="00D176D9">
        <w:rPr>
          <w:b/>
          <w:lang w:val="tr-TR"/>
        </w:rPr>
        <w:t xml:space="preserve">10.  KÜB’ÜN YENİLENME TARİHİ </w:t>
      </w:r>
    </w:p>
    <w:p w:rsidR="00242196" w:rsidRPr="00D176D9" w:rsidRDefault="007C2241" w:rsidP="00C0016F">
      <w:pPr>
        <w:spacing w:line="360" w:lineRule="auto"/>
        <w:jc w:val="both"/>
        <w:rPr>
          <w:lang w:val="tr-TR"/>
        </w:rPr>
      </w:pPr>
      <w:r>
        <w:rPr>
          <w:lang w:val="tr-TR"/>
        </w:rPr>
        <w:t>14.03.2013</w:t>
      </w:r>
    </w:p>
    <w:sectPr w:rsidR="00242196" w:rsidRPr="00D176D9" w:rsidSect="009963C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E11" w:rsidRDefault="00C01E11">
      <w:r>
        <w:separator/>
      </w:r>
    </w:p>
  </w:endnote>
  <w:endnote w:type="continuationSeparator" w:id="0">
    <w:p w:rsidR="00C01E11" w:rsidRDefault="00C01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imesNewRoman">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876"/>
      <w:docPartObj>
        <w:docPartGallery w:val="Page Numbers (Bottom of Page)"/>
        <w:docPartUnique/>
      </w:docPartObj>
    </w:sdtPr>
    <w:sdtContent>
      <w:p w:rsidR="00C01E11" w:rsidRDefault="00E50C70">
        <w:pPr>
          <w:pStyle w:val="Altbilgi"/>
          <w:jc w:val="right"/>
        </w:pPr>
        <w:fldSimple w:instr=" PAGE   \* MERGEFORMAT ">
          <w:r w:rsidR="007C2241">
            <w:rPr>
              <w:noProof/>
            </w:rPr>
            <w:t>12</w:t>
          </w:r>
        </w:fldSimple>
      </w:p>
    </w:sdtContent>
  </w:sdt>
  <w:p w:rsidR="00C01E11" w:rsidRDefault="00C01E1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E11" w:rsidRDefault="00C01E11">
      <w:r>
        <w:separator/>
      </w:r>
    </w:p>
  </w:footnote>
  <w:footnote w:type="continuationSeparator" w:id="0">
    <w:p w:rsidR="00C01E11" w:rsidRDefault="00C01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6A0"/>
    <w:multiLevelType w:val="hybridMultilevel"/>
    <w:tmpl w:val="A0FC6DB8"/>
    <w:lvl w:ilvl="0" w:tplc="CB30ACEA">
      <w:start w:val="1"/>
      <w:numFmt w:val="bullet"/>
      <w:lvlText w:val=""/>
      <w:lvlJc w:val="left"/>
      <w:pPr>
        <w:tabs>
          <w:tab w:val="num" w:pos="284"/>
        </w:tabs>
        <w:ind w:left="0" w:firstLine="0"/>
      </w:pPr>
      <w:rPr>
        <w:rFonts w:ascii="Symbol" w:eastAsia="Times New Roman" w:hAnsi="Symbol" w:cs="Times New Roman" w:hint="default"/>
        <w:b/>
        <w:color w:val="auto"/>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4FF4B1F"/>
    <w:multiLevelType w:val="hybridMultilevel"/>
    <w:tmpl w:val="E91C5768"/>
    <w:lvl w:ilvl="0" w:tplc="AEB61B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867157F"/>
    <w:multiLevelType w:val="hybridMultilevel"/>
    <w:tmpl w:val="C358A954"/>
    <w:lvl w:ilvl="0" w:tplc="E4FE93AE">
      <w:start w:val="1"/>
      <w:numFmt w:val="upperRoman"/>
      <w:lvlText w:val="%1."/>
      <w:lvlJc w:val="right"/>
      <w:pPr>
        <w:tabs>
          <w:tab w:val="num" w:pos="720"/>
        </w:tabs>
        <w:ind w:left="720"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BA15BA0"/>
    <w:multiLevelType w:val="hybridMultilevel"/>
    <w:tmpl w:val="9A7C10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CB11B5E"/>
    <w:multiLevelType w:val="hybridMultilevel"/>
    <w:tmpl w:val="3B6C1678"/>
    <w:lvl w:ilvl="0" w:tplc="26D2D004">
      <w:start w:val="1"/>
      <w:numFmt w:val="bullet"/>
      <w:lvlText w:val=""/>
      <w:lvlJc w:val="left"/>
      <w:pPr>
        <w:tabs>
          <w:tab w:val="num" w:pos="1785"/>
        </w:tabs>
        <w:ind w:left="1785" w:hanging="720"/>
      </w:pPr>
      <w:rPr>
        <w:rFonts w:ascii="Symbol" w:eastAsia="Times New Roman" w:hAnsi="Symbol" w:cs="Times New Roman" w:hint="default"/>
        <w:b/>
        <w:color w:val="auto"/>
        <w:sz w:val="24"/>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0EE064F7"/>
    <w:multiLevelType w:val="hybridMultilevel"/>
    <w:tmpl w:val="5FDE2C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3B77BE6"/>
    <w:multiLevelType w:val="hybridMultilevel"/>
    <w:tmpl w:val="23CA3E9E"/>
    <w:lvl w:ilvl="0" w:tplc="97D420E8">
      <w:start w:val="1"/>
      <w:numFmt w:val="bullet"/>
      <w:lvlText w:val=""/>
      <w:lvlJc w:val="left"/>
      <w:pPr>
        <w:tabs>
          <w:tab w:val="num" w:pos="720"/>
        </w:tabs>
        <w:ind w:left="720" w:hanging="360"/>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nsid w:val="13EB5DC4"/>
    <w:multiLevelType w:val="hybridMultilevel"/>
    <w:tmpl w:val="FB4651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5C5622E"/>
    <w:multiLevelType w:val="multilevel"/>
    <w:tmpl w:val="5382137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6C4EC5"/>
    <w:multiLevelType w:val="multilevel"/>
    <w:tmpl w:val="58AC57F4"/>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nsid w:val="1EBE124C"/>
    <w:multiLevelType w:val="hybridMultilevel"/>
    <w:tmpl w:val="61F2DD6C"/>
    <w:lvl w:ilvl="0" w:tplc="F694215A">
      <w:start w:val="1"/>
      <w:numFmt w:val="decimal"/>
      <w:lvlText w:val="%1."/>
      <w:lvlJc w:val="left"/>
      <w:pPr>
        <w:tabs>
          <w:tab w:val="num" w:pos="720"/>
        </w:tabs>
        <w:ind w:left="720" w:hanging="360"/>
      </w:pPr>
      <w:rPr>
        <w:rFonts w:hint="default"/>
        <w:b/>
        <w:color w:val="auto"/>
      </w:rPr>
    </w:lvl>
    <w:lvl w:ilvl="1" w:tplc="0134912A">
      <w:numFmt w:val="none"/>
      <w:lvlText w:val=""/>
      <w:lvlJc w:val="left"/>
      <w:pPr>
        <w:tabs>
          <w:tab w:val="num" w:pos="360"/>
        </w:tabs>
      </w:pPr>
    </w:lvl>
    <w:lvl w:ilvl="2" w:tplc="8204368E">
      <w:numFmt w:val="none"/>
      <w:lvlText w:val=""/>
      <w:lvlJc w:val="left"/>
      <w:pPr>
        <w:tabs>
          <w:tab w:val="num" w:pos="360"/>
        </w:tabs>
      </w:pPr>
    </w:lvl>
    <w:lvl w:ilvl="3" w:tplc="639A8EAE">
      <w:numFmt w:val="none"/>
      <w:lvlText w:val=""/>
      <w:lvlJc w:val="left"/>
      <w:pPr>
        <w:tabs>
          <w:tab w:val="num" w:pos="360"/>
        </w:tabs>
      </w:pPr>
    </w:lvl>
    <w:lvl w:ilvl="4" w:tplc="4EE6215C">
      <w:numFmt w:val="none"/>
      <w:lvlText w:val=""/>
      <w:lvlJc w:val="left"/>
      <w:pPr>
        <w:tabs>
          <w:tab w:val="num" w:pos="360"/>
        </w:tabs>
      </w:pPr>
    </w:lvl>
    <w:lvl w:ilvl="5" w:tplc="3094F6F8">
      <w:numFmt w:val="none"/>
      <w:lvlText w:val=""/>
      <w:lvlJc w:val="left"/>
      <w:pPr>
        <w:tabs>
          <w:tab w:val="num" w:pos="360"/>
        </w:tabs>
      </w:pPr>
    </w:lvl>
    <w:lvl w:ilvl="6" w:tplc="28F0CD6C">
      <w:numFmt w:val="none"/>
      <w:lvlText w:val=""/>
      <w:lvlJc w:val="left"/>
      <w:pPr>
        <w:tabs>
          <w:tab w:val="num" w:pos="360"/>
        </w:tabs>
      </w:pPr>
    </w:lvl>
    <w:lvl w:ilvl="7" w:tplc="4B62760A">
      <w:numFmt w:val="none"/>
      <w:lvlText w:val=""/>
      <w:lvlJc w:val="left"/>
      <w:pPr>
        <w:tabs>
          <w:tab w:val="num" w:pos="360"/>
        </w:tabs>
      </w:pPr>
    </w:lvl>
    <w:lvl w:ilvl="8" w:tplc="B772FDEA">
      <w:numFmt w:val="none"/>
      <w:lvlText w:val=""/>
      <w:lvlJc w:val="left"/>
      <w:pPr>
        <w:tabs>
          <w:tab w:val="num" w:pos="360"/>
        </w:tabs>
      </w:pPr>
    </w:lvl>
  </w:abstractNum>
  <w:abstractNum w:abstractNumId="11">
    <w:nsid w:val="21032DD7"/>
    <w:multiLevelType w:val="hybridMultilevel"/>
    <w:tmpl w:val="A370A1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70054C0"/>
    <w:multiLevelType w:val="multilevel"/>
    <w:tmpl w:val="5382137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7300E4"/>
    <w:multiLevelType w:val="multilevel"/>
    <w:tmpl w:val="E82693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29238C"/>
    <w:multiLevelType w:val="multilevel"/>
    <w:tmpl w:val="E89678B4"/>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nsid w:val="35826B09"/>
    <w:multiLevelType w:val="multilevel"/>
    <w:tmpl w:val="C3BC8A36"/>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nsid w:val="3A7E40B1"/>
    <w:multiLevelType w:val="hybridMultilevel"/>
    <w:tmpl w:val="20B2AE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C5B242C"/>
    <w:multiLevelType w:val="hybridMultilevel"/>
    <w:tmpl w:val="C7C8B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FE0C5B"/>
    <w:multiLevelType w:val="hybridMultilevel"/>
    <w:tmpl w:val="7FCEA0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3F435AC"/>
    <w:multiLevelType w:val="multilevel"/>
    <w:tmpl w:val="1E2CD18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4367F3E"/>
    <w:multiLevelType w:val="hybridMultilevel"/>
    <w:tmpl w:val="AB5420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4CE45F6"/>
    <w:multiLevelType w:val="multilevel"/>
    <w:tmpl w:val="2D40574A"/>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2">
    <w:nsid w:val="485770AC"/>
    <w:multiLevelType w:val="hybridMultilevel"/>
    <w:tmpl w:val="E82693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DBB56CA"/>
    <w:multiLevelType w:val="multilevel"/>
    <w:tmpl w:val="A0FC6DB8"/>
    <w:lvl w:ilvl="0">
      <w:start w:val="1"/>
      <w:numFmt w:val="bullet"/>
      <w:lvlText w:val=""/>
      <w:lvlJc w:val="left"/>
      <w:pPr>
        <w:tabs>
          <w:tab w:val="num" w:pos="284"/>
        </w:tabs>
        <w:ind w:left="0" w:firstLine="0"/>
      </w:pPr>
      <w:rPr>
        <w:rFonts w:ascii="Symbol" w:eastAsia="Times New Roman" w:hAnsi="Symbol" w:cs="Times New Roman" w:hint="default"/>
        <w:b/>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1711550"/>
    <w:multiLevelType w:val="multilevel"/>
    <w:tmpl w:val="5382137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0010F3"/>
    <w:multiLevelType w:val="multilevel"/>
    <w:tmpl w:val="7E10957A"/>
    <w:lvl w:ilvl="0">
      <w:start w:val="1"/>
      <w:numFmt w:val="bullet"/>
      <w:lvlText w:val=""/>
      <w:lvlJc w:val="left"/>
      <w:pPr>
        <w:tabs>
          <w:tab w:val="num" w:pos="284"/>
        </w:tabs>
        <w:ind w:left="0" w:firstLine="0"/>
      </w:pPr>
      <w:rPr>
        <w:rFonts w:ascii="Symbol" w:hAnsi="Symbol" w:cs="Times New Roman" w:hint="default"/>
        <w:b/>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250C87"/>
    <w:multiLevelType w:val="hybridMultilevel"/>
    <w:tmpl w:val="7E10957A"/>
    <w:lvl w:ilvl="0" w:tplc="E020CDB4">
      <w:start w:val="1"/>
      <w:numFmt w:val="bullet"/>
      <w:lvlText w:val=""/>
      <w:lvlJc w:val="left"/>
      <w:pPr>
        <w:tabs>
          <w:tab w:val="num" w:pos="284"/>
        </w:tabs>
        <w:ind w:left="0" w:firstLine="0"/>
      </w:pPr>
      <w:rPr>
        <w:rFonts w:ascii="Symbol" w:hAnsi="Symbol" w:cs="Times New Roman" w:hint="default"/>
        <w:b/>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EA77314"/>
    <w:multiLevelType w:val="hybridMultilevel"/>
    <w:tmpl w:val="1CB25E74"/>
    <w:lvl w:ilvl="0" w:tplc="D27C9188">
      <w:start w:val="1"/>
      <w:numFmt w:val="bullet"/>
      <w:lvlText w:val=""/>
      <w:lvlJc w:val="left"/>
      <w:pPr>
        <w:tabs>
          <w:tab w:val="num" w:pos="284"/>
        </w:tabs>
        <w:ind w:left="0" w:firstLine="0"/>
      </w:pPr>
      <w:rPr>
        <w:rFonts w:ascii="Symbol" w:eastAsia="Times New Roman" w:hAnsi="Symbol" w:cs="Times New Roman" w:hint="default"/>
        <w:b/>
        <w:color w:val="auto"/>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FB02687"/>
    <w:multiLevelType w:val="multilevel"/>
    <w:tmpl w:val="E89678B4"/>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nsid w:val="65FB187B"/>
    <w:multiLevelType w:val="hybridMultilevel"/>
    <w:tmpl w:val="C72EB0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9DB50A3"/>
    <w:multiLevelType w:val="hybridMultilevel"/>
    <w:tmpl w:val="8934F102"/>
    <w:lvl w:ilvl="0" w:tplc="AEB61B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AC426C9"/>
    <w:multiLevelType w:val="hybridMultilevel"/>
    <w:tmpl w:val="4112BF2E"/>
    <w:lvl w:ilvl="0" w:tplc="AD7E6A66">
      <w:start w:val="1"/>
      <w:numFmt w:val="decimal"/>
      <w:lvlText w:val="%1 -"/>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F393204"/>
    <w:multiLevelType w:val="multilevel"/>
    <w:tmpl w:val="E89678B4"/>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nsid w:val="76782698"/>
    <w:multiLevelType w:val="hybridMultilevel"/>
    <w:tmpl w:val="E26CFA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78578CC"/>
    <w:multiLevelType w:val="hybridMultilevel"/>
    <w:tmpl w:val="53821376"/>
    <w:lvl w:ilvl="0" w:tplc="0F4AFDC6">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78022703"/>
    <w:multiLevelType w:val="multilevel"/>
    <w:tmpl w:val="1CB25E74"/>
    <w:lvl w:ilvl="0">
      <w:start w:val="1"/>
      <w:numFmt w:val="bullet"/>
      <w:lvlText w:val=""/>
      <w:lvlJc w:val="left"/>
      <w:pPr>
        <w:tabs>
          <w:tab w:val="num" w:pos="284"/>
        </w:tabs>
        <w:ind w:left="0" w:firstLine="0"/>
      </w:pPr>
      <w:rPr>
        <w:rFonts w:ascii="Symbol" w:eastAsia="Times New Roman" w:hAnsi="Symbol" w:cs="Times New Roman" w:hint="default"/>
        <w:b/>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F077F8C"/>
    <w:multiLevelType w:val="hybridMultilevel"/>
    <w:tmpl w:val="9636F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9"/>
  </w:num>
  <w:num w:numId="5">
    <w:abstractNumId w:val="15"/>
  </w:num>
  <w:num w:numId="6">
    <w:abstractNumId w:val="28"/>
  </w:num>
  <w:num w:numId="7">
    <w:abstractNumId w:val="32"/>
  </w:num>
  <w:num w:numId="8">
    <w:abstractNumId w:val="14"/>
  </w:num>
  <w:num w:numId="9">
    <w:abstractNumId w:val="21"/>
  </w:num>
  <w:num w:numId="10">
    <w:abstractNumId w:val="19"/>
  </w:num>
  <w:num w:numId="11">
    <w:abstractNumId w:val="30"/>
  </w:num>
  <w:num w:numId="12">
    <w:abstractNumId w:val="1"/>
  </w:num>
  <w:num w:numId="13">
    <w:abstractNumId w:val="31"/>
  </w:num>
  <w:num w:numId="14">
    <w:abstractNumId w:val="2"/>
  </w:num>
  <w:num w:numId="15">
    <w:abstractNumId w:val="0"/>
  </w:num>
  <w:num w:numId="16">
    <w:abstractNumId w:val="23"/>
  </w:num>
  <w:num w:numId="17">
    <w:abstractNumId w:val="27"/>
  </w:num>
  <w:num w:numId="18">
    <w:abstractNumId w:val="35"/>
  </w:num>
  <w:num w:numId="19">
    <w:abstractNumId w:val="26"/>
  </w:num>
  <w:num w:numId="20">
    <w:abstractNumId w:val="25"/>
  </w:num>
  <w:num w:numId="21">
    <w:abstractNumId w:val="34"/>
  </w:num>
  <w:num w:numId="22">
    <w:abstractNumId w:val="22"/>
  </w:num>
  <w:num w:numId="23">
    <w:abstractNumId w:val="13"/>
  </w:num>
  <w:num w:numId="24">
    <w:abstractNumId w:val="29"/>
  </w:num>
  <w:num w:numId="25">
    <w:abstractNumId w:val="12"/>
  </w:num>
  <w:num w:numId="26">
    <w:abstractNumId w:val="7"/>
  </w:num>
  <w:num w:numId="27">
    <w:abstractNumId w:val="8"/>
  </w:num>
  <w:num w:numId="28">
    <w:abstractNumId w:val="18"/>
  </w:num>
  <w:num w:numId="29">
    <w:abstractNumId w:val="24"/>
  </w:num>
  <w:num w:numId="30">
    <w:abstractNumId w:val="20"/>
  </w:num>
  <w:num w:numId="31">
    <w:abstractNumId w:val="33"/>
  </w:num>
  <w:num w:numId="32">
    <w:abstractNumId w:val="16"/>
  </w:num>
  <w:num w:numId="33">
    <w:abstractNumId w:val="11"/>
  </w:num>
  <w:num w:numId="34">
    <w:abstractNumId w:val="5"/>
  </w:num>
  <w:num w:numId="35">
    <w:abstractNumId w:val="3"/>
  </w:num>
  <w:num w:numId="36">
    <w:abstractNumId w:val="3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defaultTableStyle w:val="TabloKlavuz1"/>
  <w:drawingGridHorizontalSpacing w:val="130"/>
  <w:drawingGridVerticalSpacing w:val="299"/>
  <w:displayHorizontalDrawingGridEvery w:val="2"/>
  <w:noPunctuationKerning/>
  <w:characterSpacingControl w:val="doNotCompress"/>
  <w:footnotePr>
    <w:footnote w:id="-1"/>
    <w:footnote w:id="0"/>
  </w:footnotePr>
  <w:endnotePr>
    <w:endnote w:id="-1"/>
    <w:endnote w:id="0"/>
  </w:endnotePr>
  <w:compat/>
  <w:rsids>
    <w:rsidRoot w:val="002F606F"/>
    <w:rsid w:val="00000ED0"/>
    <w:rsid w:val="00004142"/>
    <w:rsid w:val="000116CD"/>
    <w:rsid w:val="00015F6A"/>
    <w:rsid w:val="000206BE"/>
    <w:rsid w:val="0002365E"/>
    <w:rsid w:val="00031CD2"/>
    <w:rsid w:val="00032137"/>
    <w:rsid w:val="0004308B"/>
    <w:rsid w:val="00052AD6"/>
    <w:rsid w:val="000530EF"/>
    <w:rsid w:val="000612D1"/>
    <w:rsid w:val="00066F56"/>
    <w:rsid w:val="0007317C"/>
    <w:rsid w:val="000777EC"/>
    <w:rsid w:val="0008078B"/>
    <w:rsid w:val="0008564B"/>
    <w:rsid w:val="00087EB8"/>
    <w:rsid w:val="00090922"/>
    <w:rsid w:val="000A0EAE"/>
    <w:rsid w:val="000A43F7"/>
    <w:rsid w:val="000A6128"/>
    <w:rsid w:val="000B15A7"/>
    <w:rsid w:val="000C5A9C"/>
    <w:rsid w:val="000C6C8A"/>
    <w:rsid w:val="000E60C2"/>
    <w:rsid w:val="000E6217"/>
    <w:rsid w:val="000E78E9"/>
    <w:rsid w:val="000F061F"/>
    <w:rsid w:val="001007D1"/>
    <w:rsid w:val="00101114"/>
    <w:rsid w:val="00101255"/>
    <w:rsid w:val="001013D4"/>
    <w:rsid w:val="0010448B"/>
    <w:rsid w:val="00111FAC"/>
    <w:rsid w:val="00116A04"/>
    <w:rsid w:val="00121EF9"/>
    <w:rsid w:val="001233C8"/>
    <w:rsid w:val="00127ECD"/>
    <w:rsid w:val="0013593D"/>
    <w:rsid w:val="0013668D"/>
    <w:rsid w:val="00141FA1"/>
    <w:rsid w:val="00147FDF"/>
    <w:rsid w:val="00152C91"/>
    <w:rsid w:val="001530B3"/>
    <w:rsid w:val="00153BCF"/>
    <w:rsid w:val="00155AF6"/>
    <w:rsid w:val="001702D4"/>
    <w:rsid w:val="001767E6"/>
    <w:rsid w:val="001828BC"/>
    <w:rsid w:val="00182F13"/>
    <w:rsid w:val="00190FC1"/>
    <w:rsid w:val="00191A4C"/>
    <w:rsid w:val="001956E4"/>
    <w:rsid w:val="001A0AEA"/>
    <w:rsid w:val="001A2433"/>
    <w:rsid w:val="001A3294"/>
    <w:rsid w:val="001A4FAC"/>
    <w:rsid w:val="001A60FC"/>
    <w:rsid w:val="001B173B"/>
    <w:rsid w:val="001C1CFB"/>
    <w:rsid w:val="001C7A7F"/>
    <w:rsid w:val="001D150B"/>
    <w:rsid w:val="001D1AC3"/>
    <w:rsid w:val="001D27F5"/>
    <w:rsid w:val="001D3742"/>
    <w:rsid w:val="001E2CAD"/>
    <w:rsid w:val="001E4037"/>
    <w:rsid w:val="001E6A8E"/>
    <w:rsid w:val="001F1E5D"/>
    <w:rsid w:val="001F6933"/>
    <w:rsid w:val="00206E68"/>
    <w:rsid w:val="00220EA8"/>
    <w:rsid w:val="002215DD"/>
    <w:rsid w:val="00231BD2"/>
    <w:rsid w:val="00242196"/>
    <w:rsid w:val="0024714E"/>
    <w:rsid w:val="00251D5B"/>
    <w:rsid w:val="00257F2B"/>
    <w:rsid w:val="00270113"/>
    <w:rsid w:val="002701AB"/>
    <w:rsid w:val="0027035F"/>
    <w:rsid w:val="002733AE"/>
    <w:rsid w:val="00276EC8"/>
    <w:rsid w:val="00280438"/>
    <w:rsid w:val="00281338"/>
    <w:rsid w:val="002857B7"/>
    <w:rsid w:val="002919C5"/>
    <w:rsid w:val="002A165E"/>
    <w:rsid w:val="002B0076"/>
    <w:rsid w:val="002B698C"/>
    <w:rsid w:val="002B7841"/>
    <w:rsid w:val="002B7CD0"/>
    <w:rsid w:val="002C3080"/>
    <w:rsid w:val="002C32CD"/>
    <w:rsid w:val="002C6434"/>
    <w:rsid w:val="002C70D3"/>
    <w:rsid w:val="002D2C6D"/>
    <w:rsid w:val="002D4228"/>
    <w:rsid w:val="002E119A"/>
    <w:rsid w:val="002E2F70"/>
    <w:rsid w:val="002E462F"/>
    <w:rsid w:val="002F378B"/>
    <w:rsid w:val="002F606F"/>
    <w:rsid w:val="00300771"/>
    <w:rsid w:val="00300BFB"/>
    <w:rsid w:val="00301578"/>
    <w:rsid w:val="003121AA"/>
    <w:rsid w:val="00313A7D"/>
    <w:rsid w:val="00323D06"/>
    <w:rsid w:val="003252CC"/>
    <w:rsid w:val="0032783A"/>
    <w:rsid w:val="003330E7"/>
    <w:rsid w:val="00340C9A"/>
    <w:rsid w:val="00340DED"/>
    <w:rsid w:val="003515CB"/>
    <w:rsid w:val="003611C6"/>
    <w:rsid w:val="003658FD"/>
    <w:rsid w:val="00365CCB"/>
    <w:rsid w:val="00366479"/>
    <w:rsid w:val="00371141"/>
    <w:rsid w:val="00373AE7"/>
    <w:rsid w:val="00373E8D"/>
    <w:rsid w:val="003826E9"/>
    <w:rsid w:val="00390E3D"/>
    <w:rsid w:val="00392615"/>
    <w:rsid w:val="00394B4B"/>
    <w:rsid w:val="003B602B"/>
    <w:rsid w:val="003C1FDF"/>
    <w:rsid w:val="003C3508"/>
    <w:rsid w:val="003D2133"/>
    <w:rsid w:val="003D2204"/>
    <w:rsid w:val="003D711E"/>
    <w:rsid w:val="003E00A0"/>
    <w:rsid w:val="003E1905"/>
    <w:rsid w:val="003E2678"/>
    <w:rsid w:val="003E2C37"/>
    <w:rsid w:val="003E2D62"/>
    <w:rsid w:val="003E2ED8"/>
    <w:rsid w:val="003E7D62"/>
    <w:rsid w:val="003F3398"/>
    <w:rsid w:val="003F3A82"/>
    <w:rsid w:val="003F3DD0"/>
    <w:rsid w:val="003F4ADE"/>
    <w:rsid w:val="00402BC2"/>
    <w:rsid w:val="00403358"/>
    <w:rsid w:val="004101EA"/>
    <w:rsid w:val="004118B9"/>
    <w:rsid w:val="004149D7"/>
    <w:rsid w:val="00420F0A"/>
    <w:rsid w:val="00421B1C"/>
    <w:rsid w:val="00423727"/>
    <w:rsid w:val="00427189"/>
    <w:rsid w:val="00434E78"/>
    <w:rsid w:val="004351C5"/>
    <w:rsid w:val="00445060"/>
    <w:rsid w:val="00452F05"/>
    <w:rsid w:val="00454255"/>
    <w:rsid w:val="00460C0D"/>
    <w:rsid w:val="00461385"/>
    <w:rsid w:val="00462FEC"/>
    <w:rsid w:val="00463102"/>
    <w:rsid w:val="00465F52"/>
    <w:rsid w:val="00474227"/>
    <w:rsid w:val="00477546"/>
    <w:rsid w:val="00482F1B"/>
    <w:rsid w:val="00483538"/>
    <w:rsid w:val="00497CA7"/>
    <w:rsid w:val="004A29B7"/>
    <w:rsid w:val="004A5FD6"/>
    <w:rsid w:val="004B256E"/>
    <w:rsid w:val="004B3F6C"/>
    <w:rsid w:val="004C186C"/>
    <w:rsid w:val="004C21CB"/>
    <w:rsid w:val="004D0267"/>
    <w:rsid w:val="004D1E81"/>
    <w:rsid w:val="004D3B35"/>
    <w:rsid w:val="004D647E"/>
    <w:rsid w:val="004E7A0A"/>
    <w:rsid w:val="004F6ED9"/>
    <w:rsid w:val="00500E52"/>
    <w:rsid w:val="00512D54"/>
    <w:rsid w:val="00520947"/>
    <w:rsid w:val="00524880"/>
    <w:rsid w:val="00525FA0"/>
    <w:rsid w:val="005268E4"/>
    <w:rsid w:val="00542BDC"/>
    <w:rsid w:val="00543A9A"/>
    <w:rsid w:val="00564F0B"/>
    <w:rsid w:val="00571278"/>
    <w:rsid w:val="005933FD"/>
    <w:rsid w:val="005B385F"/>
    <w:rsid w:val="005B3E22"/>
    <w:rsid w:val="005C2444"/>
    <w:rsid w:val="005C2C54"/>
    <w:rsid w:val="005C72FF"/>
    <w:rsid w:val="005D0ECA"/>
    <w:rsid w:val="005D7A0A"/>
    <w:rsid w:val="005E5B56"/>
    <w:rsid w:val="005F21F9"/>
    <w:rsid w:val="005F29D9"/>
    <w:rsid w:val="005F76C7"/>
    <w:rsid w:val="0061568A"/>
    <w:rsid w:val="00622910"/>
    <w:rsid w:val="00622DD0"/>
    <w:rsid w:val="00625D72"/>
    <w:rsid w:val="0062780A"/>
    <w:rsid w:val="0063095E"/>
    <w:rsid w:val="00631130"/>
    <w:rsid w:val="00636015"/>
    <w:rsid w:val="00640468"/>
    <w:rsid w:val="00640E3B"/>
    <w:rsid w:val="006658E0"/>
    <w:rsid w:val="00681977"/>
    <w:rsid w:val="00694660"/>
    <w:rsid w:val="00695FF4"/>
    <w:rsid w:val="00697055"/>
    <w:rsid w:val="006A40AB"/>
    <w:rsid w:val="006A4124"/>
    <w:rsid w:val="006A645C"/>
    <w:rsid w:val="006A6A1D"/>
    <w:rsid w:val="006B0506"/>
    <w:rsid w:val="006C7378"/>
    <w:rsid w:val="006D13C6"/>
    <w:rsid w:val="006D68F0"/>
    <w:rsid w:val="006D6ACC"/>
    <w:rsid w:val="006E5FD0"/>
    <w:rsid w:val="006F6B7E"/>
    <w:rsid w:val="00700761"/>
    <w:rsid w:val="00702010"/>
    <w:rsid w:val="0071031E"/>
    <w:rsid w:val="00713414"/>
    <w:rsid w:val="00716537"/>
    <w:rsid w:val="00716AC6"/>
    <w:rsid w:val="00716B72"/>
    <w:rsid w:val="00720D80"/>
    <w:rsid w:val="00732CB6"/>
    <w:rsid w:val="007347D6"/>
    <w:rsid w:val="00735EC8"/>
    <w:rsid w:val="00741472"/>
    <w:rsid w:val="00745E42"/>
    <w:rsid w:val="00746A15"/>
    <w:rsid w:val="00754625"/>
    <w:rsid w:val="00760F3F"/>
    <w:rsid w:val="00763093"/>
    <w:rsid w:val="007678D7"/>
    <w:rsid w:val="00770C55"/>
    <w:rsid w:val="0077221D"/>
    <w:rsid w:val="00773600"/>
    <w:rsid w:val="007762A8"/>
    <w:rsid w:val="007837A4"/>
    <w:rsid w:val="00783A3D"/>
    <w:rsid w:val="00785005"/>
    <w:rsid w:val="0079671E"/>
    <w:rsid w:val="007A27CD"/>
    <w:rsid w:val="007A3D06"/>
    <w:rsid w:val="007B4587"/>
    <w:rsid w:val="007B6AE5"/>
    <w:rsid w:val="007C0766"/>
    <w:rsid w:val="007C2241"/>
    <w:rsid w:val="007C452C"/>
    <w:rsid w:val="007C5E4F"/>
    <w:rsid w:val="007C6C08"/>
    <w:rsid w:val="007D4EAD"/>
    <w:rsid w:val="007E39A6"/>
    <w:rsid w:val="007E69FB"/>
    <w:rsid w:val="007E7778"/>
    <w:rsid w:val="007E7FA2"/>
    <w:rsid w:val="007F0C3B"/>
    <w:rsid w:val="007F73FA"/>
    <w:rsid w:val="00800B0A"/>
    <w:rsid w:val="00802FF4"/>
    <w:rsid w:val="00805536"/>
    <w:rsid w:val="00817592"/>
    <w:rsid w:val="00826E8A"/>
    <w:rsid w:val="00830290"/>
    <w:rsid w:val="00831239"/>
    <w:rsid w:val="008504A7"/>
    <w:rsid w:val="0085522B"/>
    <w:rsid w:val="0086069C"/>
    <w:rsid w:val="00863DCE"/>
    <w:rsid w:val="00871D3B"/>
    <w:rsid w:val="008750F6"/>
    <w:rsid w:val="00883D62"/>
    <w:rsid w:val="0088431E"/>
    <w:rsid w:val="008867BF"/>
    <w:rsid w:val="0089037A"/>
    <w:rsid w:val="0089053C"/>
    <w:rsid w:val="008913AE"/>
    <w:rsid w:val="00891918"/>
    <w:rsid w:val="008929AD"/>
    <w:rsid w:val="008A504C"/>
    <w:rsid w:val="008A7965"/>
    <w:rsid w:val="008C271A"/>
    <w:rsid w:val="008C59F6"/>
    <w:rsid w:val="008C6E6E"/>
    <w:rsid w:val="008D6F98"/>
    <w:rsid w:val="008E3CCE"/>
    <w:rsid w:val="008E5282"/>
    <w:rsid w:val="008E6838"/>
    <w:rsid w:val="008F20B8"/>
    <w:rsid w:val="008F6D26"/>
    <w:rsid w:val="00907132"/>
    <w:rsid w:val="009168D7"/>
    <w:rsid w:val="00917619"/>
    <w:rsid w:val="00921684"/>
    <w:rsid w:val="00922D0C"/>
    <w:rsid w:val="009334AB"/>
    <w:rsid w:val="00936EED"/>
    <w:rsid w:val="00941922"/>
    <w:rsid w:val="00950393"/>
    <w:rsid w:val="00950407"/>
    <w:rsid w:val="0095090A"/>
    <w:rsid w:val="009637F6"/>
    <w:rsid w:val="0097222B"/>
    <w:rsid w:val="00977698"/>
    <w:rsid w:val="00980CC4"/>
    <w:rsid w:val="00981071"/>
    <w:rsid w:val="009814AC"/>
    <w:rsid w:val="009963CB"/>
    <w:rsid w:val="00996595"/>
    <w:rsid w:val="00997F0C"/>
    <w:rsid w:val="009A29D6"/>
    <w:rsid w:val="009A508C"/>
    <w:rsid w:val="009A5739"/>
    <w:rsid w:val="009D4E20"/>
    <w:rsid w:val="009D7D6E"/>
    <w:rsid w:val="009E10AC"/>
    <w:rsid w:val="009E23DD"/>
    <w:rsid w:val="009E2BB8"/>
    <w:rsid w:val="009E4E48"/>
    <w:rsid w:val="009F6955"/>
    <w:rsid w:val="00A216ED"/>
    <w:rsid w:val="00A22FB4"/>
    <w:rsid w:val="00A32D20"/>
    <w:rsid w:val="00A41335"/>
    <w:rsid w:val="00A41FC4"/>
    <w:rsid w:val="00A425D8"/>
    <w:rsid w:val="00A44F1A"/>
    <w:rsid w:val="00A46202"/>
    <w:rsid w:val="00A508B9"/>
    <w:rsid w:val="00A60D5E"/>
    <w:rsid w:val="00A6646F"/>
    <w:rsid w:val="00A71C8B"/>
    <w:rsid w:val="00A837DA"/>
    <w:rsid w:val="00A85FF4"/>
    <w:rsid w:val="00A86E0C"/>
    <w:rsid w:val="00A90333"/>
    <w:rsid w:val="00A90959"/>
    <w:rsid w:val="00A95A6D"/>
    <w:rsid w:val="00A978C2"/>
    <w:rsid w:val="00AA090E"/>
    <w:rsid w:val="00AA6E1A"/>
    <w:rsid w:val="00AB08A6"/>
    <w:rsid w:val="00AC5383"/>
    <w:rsid w:val="00AD6359"/>
    <w:rsid w:val="00AD64CF"/>
    <w:rsid w:val="00AE07DF"/>
    <w:rsid w:val="00AE145E"/>
    <w:rsid w:val="00AE4471"/>
    <w:rsid w:val="00AE5402"/>
    <w:rsid w:val="00AE7C2A"/>
    <w:rsid w:val="00AF7545"/>
    <w:rsid w:val="00B07BBF"/>
    <w:rsid w:val="00B12DFE"/>
    <w:rsid w:val="00B13D67"/>
    <w:rsid w:val="00B20E40"/>
    <w:rsid w:val="00B26762"/>
    <w:rsid w:val="00B4106A"/>
    <w:rsid w:val="00B470E2"/>
    <w:rsid w:val="00B531CD"/>
    <w:rsid w:val="00B555F5"/>
    <w:rsid w:val="00B57241"/>
    <w:rsid w:val="00B63590"/>
    <w:rsid w:val="00B65540"/>
    <w:rsid w:val="00B67B5B"/>
    <w:rsid w:val="00B70361"/>
    <w:rsid w:val="00B71FFD"/>
    <w:rsid w:val="00B8023E"/>
    <w:rsid w:val="00B804F1"/>
    <w:rsid w:val="00B8215B"/>
    <w:rsid w:val="00B83698"/>
    <w:rsid w:val="00B87495"/>
    <w:rsid w:val="00B8773F"/>
    <w:rsid w:val="00B87C22"/>
    <w:rsid w:val="00BA00E7"/>
    <w:rsid w:val="00BB6F50"/>
    <w:rsid w:val="00BD036D"/>
    <w:rsid w:val="00BD24C8"/>
    <w:rsid w:val="00BD39FB"/>
    <w:rsid w:val="00BD3D53"/>
    <w:rsid w:val="00BE3A78"/>
    <w:rsid w:val="00BE3C0E"/>
    <w:rsid w:val="00BE7D20"/>
    <w:rsid w:val="00BF7494"/>
    <w:rsid w:val="00C0016F"/>
    <w:rsid w:val="00C01E11"/>
    <w:rsid w:val="00C023C5"/>
    <w:rsid w:val="00C12CA1"/>
    <w:rsid w:val="00C22771"/>
    <w:rsid w:val="00C25C2C"/>
    <w:rsid w:val="00C3176E"/>
    <w:rsid w:val="00C32549"/>
    <w:rsid w:val="00C33C8D"/>
    <w:rsid w:val="00C37A69"/>
    <w:rsid w:val="00C41D84"/>
    <w:rsid w:val="00C50D3F"/>
    <w:rsid w:val="00C5393A"/>
    <w:rsid w:val="00C54527"/>
    <w:rsid w:val="00C57250"/>
    <w:rsid w:val="00C63AF0"/>
    <w:rsid w:val="00C64393"/>
    <w:rsid w:val="00C67429"/>
    <w:rsid w:val="00C727B1"/>
    <w:rsid w:val="00C750D5"/>
    <w:rsid w:val="00C775EF"/>
    <w:rsid w:val="00C95C64"/>
    <w:rsid w:val="00C975CD"/>
    <w:rsid w:val="00CB6811"/>
    <w:rsid w:val="00CC0FE5"/>
    <w:rsid w:val="00CC4CEE"/>
    <w:rsid w:val="00CE0747"/>
    <w:rsid w:val="00CE2AEA"/>
    <w:rsid w:val="00CE2ED0"/>
    <w:rsid w:val="00CE3806"/>
    <w:rsid w:val="00D028F0"/>
    <w:rsid w:val="00D167AA"/>
    <w:rsid w:val="00D176D9"/>
    <w:rsid w:val="00D17ACA"/>
    <w:rsid w:val="00D20E5C"/>
    <w:rsid w:val="00D30D3B"/>
    <w:rsid w:val="00D35D40"/>
    <w:rsid w:val="00D4595C"/>
    <w:rsid w:val="00D50B2D"/>
    <w:rsid w:val="00D52A23"/>
    <w:rsid w:val="00D53112"/>
    <w:rsid w:val="00D5714C"/>
    <w:rsid w:val="00D65236"/>
    <w:rsid w:val="00D7458E"/>
    <w:rsid w:val="00D755C4"/>
    <w:rsid w:val="00D7765F"/>
    <w:rsid w:val="00D922FE"/>
    <w:rsid w:val="00DA0ED4"/>
    <w:rsid w:val="00DA36A4"/>
    <w:rsid w:val="00DC25B8"/>
    <w:rsid w:val="00DC7C80"/>
    <w:rsid w:val="00DD59B4"/>
    <w:rsid w:val="00DD782C"/>
    <w:rsid w:val="00DD7F0E"/>
    <w:rsid w:val="00DE06D6"/>
    <w:rsid w:val="00DE1C29"/>
    <w:rsid w:val="00DE2DF5"/>
    <w:rsid w:val="00DF6BD8"/>
    <w:rsid w:val="00E00757"/>
    <w:rsid w:val="00E10DD7"/>
    <w:rsid w:val="00E1787E"/>
    <w:rsid w:val="00E20394"/>
    <w:rsid w:val="00E22E04"/>
    <w:rsid w:val="00E27A97"/>
    <w:rsid w:val="00E44315"/>
    <w:rsid w:val="00E4446F"/>
    <w:rsid w:val="00E468E4"/>
    <w:rsid w:val="00E504E8"/>
    <w:rsid w:val="00E50C70"/>
    <w:rsid w:val="00E5509E"/>
    <w:rsid w:val="00E63D8F"/>
    <w:rsid w:val="00E66045"/>
    <w:rsid w:val="00E71DD7"/>
    <w:rsid w:val="00E918B9"/>
    <w:rsid w:val="00E923D1"/>
    <w:rsid w:val="00E977EE"/>
    <w:rsid w:val="00E97834"/>
    <w:rsid w:val="00EA0E0D"/>
    <w:rsid w:val="00EA67B8"/>
    <w:rsid w:val="00EA6F8B"/>
    <w:rsid w:val="00EB0EEB"/>
    <w:rsid w:val="00EB5219"/>
    <w:rsid w:val="00EC1F57"/>
    <w:rsid w:val="00EC273B"/>
    <w:rsid w:val="00ED322E"/>
    <w:rsid w:val="00ED44FA"/>
    <w:rsid w:val="00ED7EC7"/>
    <w:rsid w:val="00EE2D1B"/>
    <w:rsid w:val="00EE46A4"/>
    <w:rsid w:val="00EF07ED"/>
    <w:rsid w:val="00EF4518"/>
    <w:rsid w:val="00F0063B"/>
    <w:rsid w:val="00F00CDF"/>
    <w:rsid w:val="00F026FF"/>
    <w:rsid w:val="00F05FBB"/>
    <w:rsid w:val="00F071FC"/>
    <w:rsid w:val="00F07340"/>
    <w:rsid w:val="00F07439"/>
    <w:rsid w:val="00F211D0"/>
    <w:rsid w:val="00F21A0E"/>
    <w:rsid w:val="00F23A9F"/>
    <w:rsid w:val="00F23FB8"/>
    <w:rsid w:val="00F27E24"/>
    <w:rsid w:val="00F32808"/>
    <w:rsid w:val="00F352F3"/>
    <w:rsid w:val="00F357B2"/>
    <w:rsid w:val="00F41034"/>
    <w:rsid w:val="00F432EB"/>
    <w:rsid w:val="00F438C6"/>
    <w:rsid w:val="00F43DFE"/>
    <w:rsid w:val="00F54729"/>
    <w:rsid w:val="00F603DA"/>
    <w:rsid w:val="00F66EAC"/>
    <w:rsid w:val="00F766E4"/>
    <w:rsid w:val="00F8068F"/>
    <w:rsid w:val="00F87D45"/>
    <w:rsid w:val="00F90E76"/>
    <w:rsid w:val="00F910D9"/>
    <w:rsid w:val="00F91D02"/>
    <w:rsid w:val="00FA2EF1"/>
    <w:rsid w:val="00FA55D0"/>
    <w:rsid w:val="00FB1CE8"/>
    <w:rsid w:val="00FB5311"/>
    <w:rsid w:val="00FC31CD"/>
    <w:rsid w:val="00FC788C"/>
    <w:rsid w:val="00FE4A89"/>
    <w:rsid w:val="00FE4A99"/>
    <w:rsid w:val="00FE62A3"/>
    <w:rsid w:val="00FF4D88"/>
    <w:rsid w:val="00FF5A34"/>
    <w:rsid w:val="00FF5D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196"/>
    <w:rPr>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42196"/>
    <w:pPr>
      <w:tabs>
        <w:tab w:val="center" w:pos="4536"/>
        <w:tab w:val="right" w:pos="9072"/>
      </w:tabs>
    </w:pPr>
  </w:style>
  <w:style w:type="paragraph" w:styleId="Altbilgi">
    <w:name w:val="footer"/>
    <w:basedOn w:val="Normal"/>
    <w:link w:val="AltbilgiChar"/>
    <w:uiPriority w:val="99"/>
    <w:rsid w:val="00242196"/>
    <w:pPr>
      <w:tabs>
        <w:tab w:val="center" w:pos="4536"/>
        <w:tab w:val="right" w:pos="9072"/>
      </w:tabs>
    </w:pPr>
  </w:style>
  <w:style w:type="character" w:styleId="SayfaNumaras">
    <w:name w:val="page number"/>
    <w:basedOn w:val="VarsaylanParagrafYazTipi"/>
    <w:rsid w:val="00DD782C"/>
  </w:style>
  <w:style w:type="paragraph" w:styleId="GvdeMetni">
    <w:name w:val="Body Text"/>
    <w:basedOn w:val="Normal"/>
    <w:rsid w:val="00D028F0"/>
    <w:pPr>
      <w:jc w:val="both"/>
    </w:pPr>
    <w:rPr>
      <w:rFonts w:ascii="Arial" w:hAnsi="Arial" w:cs="Arial"/>
      <w:sz w:val="22"/>
      <w:szCs w:val="20"/>
      <w:lang w:val="tr-TR" w:eastAsia="tr-TR"/>
    </w:rPr>
  </w:style>
  <w:style w:type="table" w:styleId="TabloKlavuz1">
    <w:name w:val="Table Grid 1"/>
    <w:basedOn w:val="NormalTablo"/>
    <w:rsid w:val="00A85FF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7A3D06"/>
    <w:pPr>
      <w:spacing w:before="100" w:beforeAutospacing="1" w:after="100" w:afterAutospacing="1"/>
    </w:pPr>
    <w:rPr>
      <w:lang w:val="tr-TR" w:eastAsia="tr-TR"/>
    </w:rPr>
  </w:style>
  <w:style w:type="character" w:customStyle="1" w:styleId="AltbilgiChar">
    <w:name w:val="Altbilgi Char"/>
    <w:basedOn w:val="VarsaylanParagrafYazTipi"/>
    <w:link w:val="Altbilgi"/>
    <w:uiPriority w:val="99"/>
    <w:rsid w:val="00FF5DD7"/>
    <w:rPr>
      <w:sz w:val="24"/>
      <w:szCs w:val="24"/>
      <w:lang w:val="nl-NL" w:eastAsia="nl-NL"/>
    </w:rPr>
  </w:style>
  <w:style w:type="paragraph" w:customStyle="1" w:styleId="Text">
    <w:name w:val="Text"/>
    <w:basedOn w:val="Normal"/>
    <w:link w:val="TextChar"/>
    <w:rsid w:val="004B256E"/>
    <w:pPr>
      <w:spacing w:before="120"/>
      <w:jc w:val="both"/>
    </w:pPr>
    <w:rPr>
      <w:szCs w:val="20"/>
      <w:lang w:val="en-US" w:eastAsia="en-US"/>
    </w:rPr>
  </w:style>
  <w:style w:type="character" w:customStyle="1" w:styleId="TextChar">
    <w:name w:val="Text Char"/>
    <w:basedOn w:val="VarsaylanParagrafYazTipi"/>
    <w:link w:val="Text"/>
    <w:rsid w:val="004B256E"/>
    <w:rPr>
      <w:sz w:val="24"/>
      <w:lang w:val="en-US" w:eastAsia="en-US"/>
    </w:rPr>
  </w:style>
</w:styles>
</file>

<file path=word/webSettings.xml><?xml version="1.0" encoding="utf-8"?>
<w:webSettings xmlns:r="http://schemas.openxmlformats.org/officeDocument/2006/relationships" xmlns:w="http://schemas.openxmlformats.org/wordprocessingml/2006/main">
  <w:divs>
    <w:div w:id="126706228">
      <w:bodyDiv w:val="1"/>
      <w:marLeft w:val="0"/>
      <w:marRight w:val="0"/>
      <w:marTop w:val="0"/>
      <w:marBottom w:val="0"/>
      <w:divBdr>
        <w:top w:val="none" w:sz="0" w:space="0" w:color="auto"/>
        <w:left w:val="none" w:sz="0" w:space="0" w:color="auto"/>
        <w:bottom w:val="none" w:sz="0" w:space="0" w:color="auto"/>
        <w:right w:val="none" w:sz="0" w:space="0" w:color="auto"/>
      </w:divBdr>
    </w:div>
    <w:div w:id="221331635">
      <w:bodyDiv w:val="1"/>
      <w:marLeft w:val="0"/>
      <w:marRight w:val="0"/>
      <w:marTop w:val="0"/>
      <w:marBottom w:val="0"/>
      <w:divBdr>
        <w:top w:val="none" w:sz="0" w:space="0" w:color="auto"/>
        <w:left w:val="none" w:sz="0" w:space="0" w:color="auto"/>
        <w:bottom w:val="none" w:sz="0" w:space="0" w:color="auto"/>
        <w:right w:val="none" w:sz="0" w:space="0" w:color="auto"/>
      </w:divBdr>
    </w:div>
    <w:div w:id="322126062">
      <w:bodyDiv w:val="1"/>
      <w:marLeft w:val="0"/>
      <w:marRight w:val="0"/>
      <w:marTop w:val="0"/>
      <w:marBottom w:val="0"/>
      <w:divBdr>
        <w:top w:val="none" w:sz="0" w:space="0" w:color="auto"/>
        <w:left w:val="none" w:sz="0" w:space="0" w:color="auto"/>
        <w:bottom w:val="none" w:sz="0" w:space="0" w:color="auto"/>
        <w:right w:val="none" w:sz="0" w:space="0" w:color="auto"/>
      </w:divBdr>
    </w:div>
    <w:div w:id="579994464">
      <w:bodyDiv w:val="1"/>
      <w:marLeft w:val="0"/>
      <w:marRight w:val="0"/>
      <w:marTop w:val="0"/>
      <w:marBottom w:val="0"/>
      <w:divBdr>
        <w:top w:val="none" w:sz="0" w:space="0" w:color="auto"/>
        <w:left w:val="none" w:sz="0" w:space="0" w:color="auto"/>
        <w:bottom w:val="none" w:sz="0" w:space="0" w:color="auto"/>
        <w:right w:val="none" w:sz="0" w:space="0" w:color="auto"/>
      </w:divBdr>
    </w:div>
    <w:div w:id="587271631">
      <w:bodyDiv w:val="1"/>
      <w:marLeft w:val="0"/>
      <w:marRight w:val="0"/>
      <w:marTop w:val="0"/>
      <w:marBottom w:val="0"/>
      <w:divBdr>
        <w:top w:val="none" w:sz="0" w:space="0" w:color="auto"/>
        <w:left w:val="none" w:sz="0" w:space="0" w:color="auto"/>
        <w:bottom w:val="none" w:sz="0" w:space="0" w:color="auto"/>
        <w:right w:val="none" w:sz="0" w:space="0" w:color="auto"/>
      </w:divBdr>
    </w:div>
    <w:div w:id="608007513">
      <w:bodyDiv w:val="1"/>
      <w:marLeft w:val="0"/>
      <w:marRight w:val="0"/>
      <w:marTop w:val="0"/>
      <w:marBottom w:val="0"/>
      <w:divBdr>
        <w:top w:val="none" w:sz="0" w:space="0" w:color="auto"/>
        <w:left w:val="none" w:sz="0" w:space="0" w:color="auto"/>
        <w:bottom w:val="none" w:sz="0" w:space="0" w:color="auto"/>
        <w:right w:val="none" w:sz="0" w:space="0" w:color="auto"/>
      </w:divBdr>
    </w:div>
    <w:div w:id="612904493">
      <w:bodyDiv w:val="1"/>
      <w:marLeft w:val="0"/>
      <w:marRight w:val="0"/>
      <w:marTop w:val="0"/>
      <w:marBottom w:val="0"/>
      <w:divBdr>
        <w:top w:val="none" w:sz="0" w:space="0" w:color="auto"/>
        <w:left w:val="none" w:sz="0" w:space="0" w:color="auto"/>
        <w:bottom w:val="none" w:sz="0" w:space="0" w:color="auto"/>
        <w:right w:val="none" w:sz="0" w:space="0" w:color="auto"/>
      </w:divBdr>
    </w:div>
    <w:div w:id="1246067912">
      <w:bodyDiv w:val="1"/>
      <w:marLeft w:val="0"/>
      <w:marRight w:val="0"/>
      <w:marTop w:val="0"/>
      <w:marBottom w:val="0"/>
      <w:divBdr>
        <w:top w:val="none" w:sz="0" w:space="0" w:color="auto"/>
        <w:left w:val="none" w:sz="0" w:space="0" w:color="auto"/>
        <w:bottom w:val="none" w:sz="0" w:space="0" w:color="auto"/>
        <w:right w:val="none" w:sz="0" w:space="0" w:color="auto"/>
      </w:divBdr>
    </w:div>
    <w:div w:id="1776287983">
      <w:bodyDiv w:val="1"/>
      <w:marLeft w:val="0"/>
      <w:marRight w:val="0"/>
      <w:marTop w:val="0"/>
      <w:marBottom w:val="0"/>
      <w:divBdr>
        <w:top w:val="none" w:sz="0" w:space="0" w:color="auto"/>
        <w:left w:val="none" w:sz="0" w:space="0" w:color="auto"/>
        <w:bottom w:val="none" w:sz="0" w:space="0" w:color="auto"/>
        <w:right w:val="none" w:sz="0" w:space="0" w:color="auto"/>
      </w:divBdr>
    </w:div>
    <w:div w:id="19672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E79D-171C-445E-BC08-C08EA815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2656</Words>
  <Characters>19809</Characters>
  <Application>Microsoft Office Word</Application>
  <DocSecurity>0</DocSecurity>
  <Lines>165</Lines>
  <Paragraphs>44</Paragraphs>
  <ScaleCrop>false</ScaleCrop>
  <HeadingPairs>
    <vt:vector size="2" baseType="variant">
      <vt:variant>
        <vt:lpstr>Konu Başlığı</vt:lpstr>
      </vt:variant>
      <vt:variant>
        <vt:i4>1</vt:i4>
      </vt:variant>
    </vt:vector>
  </HeadingPairs>
  <TitlesOfParts>
    <vt:vector size="1" baseType="lpstr">
      <vt:lpstr>1</vt:lpstr>
    </vt:vector>
  </TitlesOfParts>
  <Company>Deva Holding</Company>
  <LinksUpToDate>false</LinksUpToDate>
  <CharactersWithSpaces>22421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mozdogan</dc:creator>
  <cp:keywords/>
  <dc:description/>
  <cp:lastModifiedBy>fersari</cp:lastModifiedBy>
  <cp:revision>7</cp:revision>
  <cp:lastPrinted>2014-07-23T11:33:00Z</cp:lastPrinted>
  <dcterms:created xsi:type="dcterms:W3CDTF">2014-07-23T11:32:00Z</dcterms:created>
  <dcterms:modified xsi:type="dcterms:W3CDTF">2014-09-26T11:08:00Z</dcterms:modified>
</cp:coreProperties>
</file>